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A38C" w14:textId="77777777" w:rsidR="001108D5" w:rsidRDefault="001108D5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65D7FB10" w14:textId="77777777" w:rsidR="00C14B85" w:rsidRPr="0067178A" w:rsidRDefault="004F2A06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 w:rsidRPr="0067178A">
        <w:rPr>
          <w:rFonts w:ascii="Century Gothic" w:hAnsi="Century Gothic" w:cs="Times New Roman"/>
          <w:noProof/>
          <w:sz w:val="36"/>
          <w:szCs w:val="3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D47D" wp14:editId="235B7D27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21C08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5.35pt" to="49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" strokecolor="#4472c4 [3208]" strokeweight="1.5pt">
                <v:stroke joinstyle="miter"/>
              </v:line>
            </w:pict>
          </mc:Fallback>
        </mc:AlternateContent>
      </w:r>
      <w:r w:rsidR="001108D5">
        <w:rPr>
          <w:rFonts w:ascii="Century Gothic" w:hAnsi="Century Gothic" w:cs="Times New Roman"/>
          <w:sz w:val="36"/>
          <w:szCs w:val="36"/>
        </w:rPr>
        <w:t xml:space="preserve">Instructivo </w:t>
      </w:r>
      <w:proofErr w:type="spellStart"/>
      <w:r w:rsidR="001108D5">
        <w:rPr>
          <w:rFonts w:ascii="Century Gothic" w:hAnsi="Century Gothic" w:cs="Times New Roman"/>
          <w:sz w:val="36"/>
          <w:szCs w:val="36"/>
        </w:rPr>
        <w:t>N°</w:t>
      </w:r>
      <w:proofErr w:type="spellEnd"/>
      <w:r w:rsidR="001108D5">
        <w:rPr>
          <w:rFonts w:ascii="Century Gothic" w:hAnsi="Century Gothic" w:cs="Times New Roman"/>
          <w:sz w:val="36"/>
          <w:szCs w:val="36"/>
        </w:rPr>
        <w:t xml:space="preserve"> 006</w:t>
      </w:r>
    </w:p>
    <w:p w14:paraId="29C78069" w14:textId="77777777" w:rsidR="00EE36EB" w:rsidRDefault="00EE36EB" w:rsidP="002532E3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65960FB0" w14:textId="77777777" w:rsidR="002532E3" w:rsidRPr="00C145AE" w:rsidRDefault="00C6429F" w:rsidP="002532E3">
      <w:pPr>
        <w:spacing w:after="0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</w:p>
    <w:p w14:paraId="48E4C115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0AD01CEC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6CF2387D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236DFA70" w14:textId="77777777" w:rsidR="00C6429F" w:rsidRPr="00C145AE" w:rsidRDefault="00C6429F" w:rsidP="002532E3">
      <w:pPr>
        <w:spacing w:after="0"/>
        <w:rPr>
          <w:rFonts w:ascii="Century Gothic" w:hAnsi="Century Gothic" w:cs="Times New Roman"/>
        </w:rPr>
      </w:pPr>
    </w:p>
    <w:p w14:paraId="4D2D6B3C" w14:textId="77777777"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6277C0C0" w14:textId="77777777"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272A6B6E" w14:textId="77777777" w:rsidR="00C6429F" w:rsidRPr="00C145AE" w:rsidRDefault="00C6429F" w:rsidP="004F2A06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21682119" w14:textId="77777777" w:rsidR="004F2A06" w:rsidRPr="00C145AE" w:rsidRDefault="004F2A06" w:rsidP="004F2A06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6E2AEABA" w14:textId="77777777" w:rsidR="00936261" w:rsidRDefault="00936261" w:rsidP="00DE1EDC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</w:p>
    <w:p w14:paraId="3FB960FF" w14:textId="72D566FC" w:rsidR="00AD22D6" w:rsidRDefault="00181485" w:rsidP="00DE1EDC">
      <w:pPr>
        <w:spacing w:after="0"/>
        <w:jc w:val="center"/>
        <w:rPr>
          <w:rFonts w:ascii="Century Gothic" w:hAnsi="Century Gothic" w:cs="Times New Roman"/>
          <w:sz w:val="28"/>
          <w:szCs w:val="28"/>
        </w:rPr>
      </w:pPr>
      <w:r>
        <w:rPr>
          <w:rFonts w:ascii="Century Gothic" w:hAnsi="Century Gothic" w:cs="Times New Roman"/>
          <w:sz w:val="28"/>
          <w:szCs w:val="28"/>
        </w:rPr>
        <w:t xml:space="preserve">Revisión </w:t>
      </w:r>
      <w:r w:rsidR="00AD22D6">
        <w:rPr>
          <w:rFonts w:ascii="Century Gothic" w:hAnsi="Century Gothic" w:cs="Times New Roman"/>
          <w:sz w:val="28"/>
          <w:szCs w:val="28"/>
        </w:rPr>
        <w:t>y Verificación de Existencias</w:t>
      </w:r>
    </w:p>
    <w:p w14:paraId="1B3D9197" w14:textId="61E34E70" w:rsidR="004F2A06" w:rsidRPr="00DE1EDC" w:rsidRDefault="001108D5" w:rsidP="00DE1EDC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8"/>
          <w:szCs w:val="28"/>
        </w:rPr>
        <w:t>Empresas FG</w:t>
      </w:r>
      <w:r w:rsidR="00881485">
        <w:rPr>
          <w:rFonts w:ascii="Century Gothic" w:hAnsi="Century Gothic" w:cs="Times New Roman"/>
          <w:sz w:val="28"/>
          <w:szCs w:val="28"/>
        </w:rPr>
        <w:tab/>
      </w:r>
    </w:p>
    <w:p w14:paraId="24070647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3C88A304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0E2A665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721657A4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5E2D1E72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3F5DC9A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A1CA39D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7BD8333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C5EE1BF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2F0701ED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3AE1BB03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00D03ABC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4F69ED34" w14:textId="77777777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2DBDB27E" w14:textId="77777777" w:rsidR="004F2A06" w:rsidRDefault="004F2A06" w:rsidP="002532E3">
      <w:pPr>
        <w:spacing w:after="0"/>
        <w:rPr>
          <w:rFonts w:ascii="Century Gothic" w:hAnsi="Century Gothic" w:cs="Times New Roman"/>
        </w:rPr>
      </w:pPr>
    </w:p>
    <w:p w14:paraId="61755F77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6EDC544F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159B531D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02D02F1E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07AC527E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78E54EEA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10115F1D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11EBAE59" w14:textId="354BDA8C" w:rsidR="004F2A06" w:rsidRPr="00C145AE" w:rsidRDefault="004F2A06" w:rsidP="004F2A06">
      <w:pPr>
        <w:spacing w:after="0"/>
        <w:jc w:val="right"/>
        <w:rPr>
          <w:rFonts w:ascii="Century Gothic" w:hAnsi="Century Gothic" w:cs="Times New Roman"/>
        </w:rPr>
      </w:pPr>
      <w:r w:rsidRPr="00C145AE">
        <w:rPr>
          <w:rFonts w:ascii="Century Gothic" w:hAnsi="Century Gothic" w:cs="Times New Roman"/>
        </w:rPr>
        <w:lastRenderedPageBreak/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  <w:r w:rsidRPr="00C145AE">
        <w:rPr>
          <w:rFonts w:ascii="Century Gothic" w:hAnsi="Century Gothic" w:cs="Times New Roman"/>
        </w:rPr>
        <w:tab/>
      </w: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9"/>
        <w:gridCol w:w="547"/>
        <w:gridCol w:w="5482"/>
      </w:tblGrid>
      <w:tr w:rsidR="00C145AE" w:rsidRPr="0009628D" w14:paraId="53BC1CC3" w14:textId="77777777" w:rsidTr="0009628D">
        <w:trPr>
          <w:trHeight w:val="264"/>
        </w:trPr>
        <w:tc>
          <w:tcPr>
            <w:tcW w:w="1585" w:type="pct"/>
          </w:tcPr>
          <w:p w14:paraId="198C3DA3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310" w:type="pct"/>
          </w:tcPr>
          <w:p w14:paraId="34255D9F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18857A93" w14:textId="77777777" w:rsidR="00C145AE" w:rsidRPr="0009628D" w:rsidRDefault="0007178F" w:rsidP="00C14B85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01</w:t>
            </w:r>
            <w:r w:rsidR="0009628D">
              <w:rPr>
                <w:rFonts w:ascii="Century Gothic" w:hAnsi="Century Gothic" w:cs="Times New Roman"/>
                <w:sz w:val="20"/>
                <w:szCs w:val="20"/>
              </w:rPr>
              <w:t>-</w:t>
            </w:r>
            <w:r w:rsidR="001108D5">
              <w:rPr>
                <w:rFonts w:ascii="Century Gothic" w:hAnsi="Century Gothic" w:cs="Times New Roman"/>
                <w:sz w:val="20"/>
                <w:szCs w:val="20"/>
              </w:rPr>
              <w:t>12</w:t>
            </w:r>
            <w:r w:rsidR="0009628D">
              <w:rPr>
                <w:rFonts w:ascii="Century Gothic" w:hAnsi="Century Gothic" w:cs="Times New Roman"/>
                <w:sz w:val="20"/>
                <w:szCs w:val="20"/>
              </w:rPr>
              <w:t>-201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</w:tr>
      <w:tr w:rsidR="00C145AE" w:rsidRPr="0009628D" w14:paraId="47DE937D" w14:textId="77777777" w:rsidTr="0009628D">
        <w:trPr>
          <w:trHeight w:val="249"/>
        </w:trPr>
        <w:tc>
          <w:tcPr>
            <w:tcW w:w="1585" w:type="pct"/>
          </w:tcPr>
          <w:p w14:paraId="72A849FE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Versión</w:t>
            </w:r>
          </w:p>
        </w:tc>
        <w:tc>
          <w:tcPr>
            <w:tcW w:w="310" w:type="pct"/>
          </w:tcPr>
          <w:p w14:paraId="3D2B775B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78EAF0E" w14:textId="77777777" w:rsidR="00C145AE" w:rsidRPr="0009628D" w:rsidRDefault="0048761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Versión 1</w:t>
            </w:r>
          </w:p>
        </w:tc>
      </w:tr>
      <w:tr w:rsidR="00140E6B" w:rsidRPr="0009628D" w14:paraId="70BA45F9" w14:textId="77777777" w:rsidTr="0009628D">
        <w:trPr>
          <w:trHeight w:val="249"/>
        </w:trPr>
        <w:tc>
          <w:tcPr>
            <w:tcW w:w="1585" w:type="pct"/>
          </w:tcPr>
          <w:p w14:paraId="40CCEF5D" w14:textId="77777777" w:rsidR="00140E6B" w:rsidRPr="0009628D" w:rsidRDefault="002E30E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Código</w:t>
            </w:r>
          </w:p>
        </w:tc>
        <w:tc>
          <w:tcPr>
            <w:tcW w:w="310" w:type="pct"/>
          </w:tcPr>
          <w:p w14:paraId="11078B2B" w14:textId="77777777" w:rsidR="00140E6B" w:rsidRPr="0009628D" w:rsidRDefault="00140E6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6972B5ED" w14:textId="77777777" w:rsidR="00140E6B" w:rsidRDefault="00140E6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INT_0</w:t>
            </w:r>
            <w:r w:rsidR="001108D5">
              <w:rPr>
                <w:rFonts w:ascii="Century Gothic" w:hAnsi="Century Gothic" w:cs="Times New Roman"/>
                <w:sz w:val="20"/>
                <w:szCs w:val="20"/>
              </w:rPr>
              <w:t>06</w:t>
            </w:r>
            <w:r w:rsidR="002E30EB">
              <w:rPr>
                <w:rFonts w:ascii="Century Gothic" w:hAnsi="Century Gothic" w:cs="Times New Roman"/>
                <w:sz w:val="20"/>
                <w:szCs w:val="20"/>
              </w:rPr>
              <w:t>_FG</w:t>
            </w:r>
          </w:p>
        </w:tc>
      </w:tr>
      <w:tr w:rsidR="00C145AE" w:rsidRPr="0009628D" w14:paraId="4C56D9EC" w14:textId="77777777" w:rsidTr="0009628D">
        <w:trPr>
          <w:trHeight w:val="264"/>
        </w:trPr>
        <w:tc>
          <w:tcPr>
            <w:tcW w:w="1585" w:type="pct"/>
          </w:tcPr>
          <w:p w14:paraId="351B4B7B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Elaborado por</w:t>
            </w:r>
          </w:p>
        </w:tc>
        <w:tc>
          <w:tcPr>
            <w:tcW w:w="310" w:type="pct"/>
          </w:tcPr>
          <w:p w14:paraId="732B886B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681D6FCC" w14:textId="52CC93AE" w:rsidR="00C145AE" w:rsidRPr="0009628D" w:rsidRDefault="00C14B85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Sebastián Garrido</w:t>
            </w:r>
            <w:r w:rsidR="001108D5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</w:tr>
      <w:tr w:rsidR="00AD367D" w:rsidRPr="0009628D" w14:paraId="4C08D4EC" w14:textId="77777777" w:rsidTr="0009628D">
        <w:trPr>
          <w:trHeight w:val="264"/>
        </w:trPr>
        <w:tc>
          <w:tcPr>
            <w:tcW w:w="1585" w:type="pct"/>
          </w:tcPr>
          <w:p w14:paraId="3AF31364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Aprobado por </w:t>
            </w:r>
          </w:p>
        </w:tc>
        <w:tc>
          <w:tcPr>
            <w:tcW w:w="310" w:type="pct"/>
          </w:tcPr>
          <w:p w14:paraId="1A3BC94F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02A69759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Juan Suazo C.</w:t>
            </w:r>
          </w:p>
        </w:tc>
      </w:tr>
      <w:tr w:rsidR="00AD367D" w:rsidRPr="0009628D" w14:paraId="724506E6" w14:textId="77777777" w:rsidTr="0009628D">
        <w:trPr>
          <w:trHeight w:val="249"/>
        </w:trPr>
        <w:tc>
          <w:tcPr>
            <w:tcW w:w="1585" w:type="pct"/>
          </w:tcPr>
          <w:p w14:paraId="09DD464B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310" w:type="pct"/>
          </w:tcPr>
          <w:p w14:paraId="08DE6C96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7F878F4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imes New Roman"/>
                <w:sz w:val="20"/>
                <w:szCs w:val="20"/>
              </w:rPr>
              <w:t>1 a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ño a contar</w:t>
            </w:r>
            <w:proofErr w:type="gramEnd"/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la 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</w:tr>
    </w:tbl>
    <w:p w14:paraId="5D2692B9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5409DBC1" w14:textId="510696FD" w:rsidR="00181485" w:rsidRPr="00181485" w:rsidRDefault="00181485" w:rsidP="004F2A06">
      <w:pPr>
        <w:spacing w:after="0"/>
        <w:rPr>
          <w:rFonts w:ascii="Century Gothic" w:hAnsi="Century Gothic" w:cs="Times New Roman"/>
          <w:color w:val="8496B0" w:themeColor="text2" w:themeTint="99"/>
        </w:rPr>
      </w:pPr>
      <w:r w:rsidRPr="00181485">
        <w:rPr>
          <w:rFonts w:ascii="Century Gothic" w:hAnsi="Century Gothic" w:cs="Times New Roman"/>
          <w:color w:val="8496B0" w:themeColor="text2" w:themeTint="99"/>
        </w:rPr>
        <w:t>Control de Cambios.</w:t>
      </w: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979"/>
        <w:gridCol w:w="1364"/>
        <w:gridCol w:w="3198"/>
        <w:gridCol w:w="1137"/>
        <w:gridCol w:w="2060"/>
      </w:tblGrid>
      <w:tr w:rsidR="00181485" w14:paraId="24F4CFF4" w14:textId="77777777" w:rsidTr="002446D6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DDDD89D" w14:textId="77777777" w:rsidR="00181485" w:rsidRPr="0003338D" w:rsidRDefault="00181485" w:rsidP="002446D6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3338D">
              <w:rPr>
                <w:rFonts w:ascii="Century Gothic" w:hAnsi="Century Gothic" w:cs="Times New Roman"/>
                <w:sz w:val="20"/>
                <w:szCs w:val="20"/>
              </w:rPr>
              <w:t>Vers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2CBFDE3" w14:textId="77777777" w:rsidR="00181485" w:rsidRDefault="00181485" w:rsidP="002446D6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Punto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16D7DB3D" w14:textId="77777777" w:rsidR="00181485" w:rsidRDefault="00181485" w:rsidP="002446D6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Cambio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2026AAE" w14:textId="77777777" w:rsidR="00181485" w:rsidRDefault="00181485" w:rsidP="002446D6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61C385E7" w14:textId="77777777" w:rsidR="00181485" w:rsidRDefault="00181485" w:rsidP="002446D6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Responsable</w:t>
            </w:r>
          </w:p>
        </w:tc>
      </w:tr>
      <w:tr w:rsidR="00181485" w14:paraId="376A522B" w14:textId="77777777" w:rsidTr="002446D6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DA7FBB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V1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F631CB2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850CADC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N/A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E830680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01/09/2018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39D5FA0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Juan Suazo/S. Garrido</w:t>
            </w:r>
          </w:p>
        </w:tc>
      </w:tr>
      <w:tr w:rsidR="00181485" w14:paraId="39040C5B" w14:textId="77777777" w:rsidTr="002446D6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4DF1BAF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V2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E35B6CD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6DB2D972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Actualización y Agrega función ERP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14CD7BD" w14:textId="13F866FE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81485">
              <w:rPr>
                <w:rFonts w:ascii="Century Gothic" w:hAnsi="Century Gothic" w:cs="Times New Roman"/>
                <w:sz w:val="16"/>
                <w:szCs w:val="16"/>
              </w:rPr>
              <w:t>20/11/202</w:t>
            </w:r>
            <w:r w:rsidRPr="00181485">
              <w:rPr>
                <w:rFonts w:ascii="Century Gothic" w:hAnsi="Century Gothic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7BFD21BB" w14:textId="77777777" w:rsidR="00181485" w:rsidRPr="00181485" w:rsidRDefault="00181485" w:rsidP="002446D6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proofErr w:type="spellStart"/>
            <w:proofErr w:type="gramStart"/>
            <w:r w:rsidRPr="00181485">
              <w:rPr>
                <w:rFonts w:ascii="Century Gothic" w:hAnsi="Century Gothic" w:cs="Times New Roman"/>
                <w:sz w:val="16"/>
                <w:szCs w:val="16"/>
              </w:rPr>
              <w:t>S.Garrido</w:t>
            </w:r>
            <w:proofErr w:type="spellEnd"/>
            <w:proofErr w:type="gramEnd"/>
          </w:p>
        </w:tc>
      </w:tr>
    </w:tbl>
    <w:p w14:paraId="57E4B9D3" w14:textId="77777777" w:rsidR="00181485" w:rsidRDefault="00181485" w:rsidP="004F2A06">
      <w:pPr>
        <w:spacing w:after="0"/>
        <w:rPr>
          <w:rFonts w:ascii="Century Gothic" w:hAnsi="Century Gothic" w:cs="Times New Roman"/>
        </w:rPr>
      </w:pPr>
    </w:p>
    <w:p w14:paraId="1FC54467" w14:textId="77777777" w:rsidR="00181485" w:rsidRDefault="00181485" w:rsidP="004F2A06">
      <w:pPr>
        <w:spacing w:after="0"/>
        <w:rPr>
          <w:rFonts w:ascii="Century Gothic" w:hAnsi="Century Gothic" w:cs="Times New Roman"/>
        </w:rPr>
      </w:pPr>
    </w:p>
    <w:p w14:paraId="2BD7B613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0D70BBD7" w14:textId="77777777" w:rsidR="00C145AE" w:rsidRPr="00EA33A5" w:rsidRDefault="00F1425E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noProof/>
          <w:color w:val="8496B0" w:themeColor="text2" w:themeTint="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D0E6C" wp14:editId="467F0320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A8986" id="Conector recto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A33A5">
        <w:rPr>
          <w:rFonts w:ascii="Century Gothic" w:hAnsi="Century Gothic" w:cs="Times New Roman"/>
          <w:color w:val="8496B0" w:themeColor="text2" w:themeTint="99"/>
        </w:rPr>
        <w:t>Propósito</w:t>
      </w:r>
      <w:r w:rsidR="001108D5" w:rsidRPr="00EA33A5">
        <w:rPr>
          <w:rFonts w:ascii="Century Gothic" w:hAnsi="Century Gothic" w:cs="Times New Roman"/>
          <w:color w:val="8496B0" w:themeColor="text2" w:themeTint="99"/>
        </w:rPr>
        <w:t xml:space="preserve"> o Finalidad</w:t>
      </w:r>
    </w:p>
    <w:p w14:paraId="38E2DEC7" w14:textId="77777777" w:rsidR="00C145AE" w:rsidRDefault="00C145AE" w:rsidP="00F1425E">
      <w:pPr>
        <w:spacing w:after="0"/>
        <w:rPr>
          <w:rFonts w:ascii="Century Gothic" w:hAnsi="Century Gothic" w:cs="Times New Roman"/>
        </w:rPr>
      </w:pPr>
    </w:p>
    <w:p w14:paraId="7289508E" w14:textId="49ED788A" w:rsidR="00C14B85" w:rsidRPr="00850AF8" w:rsidRDefault="001108D5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Determinar mediante técnicas de auditoría la existencia física de los suministros de la empresa almacenados en bodegas, almacenes o depósitos</w:t>
      </w:r>
      <w:r w:rsidR="00850AF8">
        <w:rPr>
          <w:rFonts w:ascii="Century Gothic" w:hAnsi="Century Gothic" w:cs="Times New Roman"/>
          <w:sz w:val="20"/>
          <w:szCs w:val="20"/>
        </w:rPr>
        <w:t xml:space="preserve"> y </w:t>
      </w:r>
      <w:r>
        <w:rPr>
          <w:rFonts w:ascii="Century Gothic" w:hAnsi="Century Gothic" w:cs="Times New Roman"/>
          <w:sz w:val="20"/>
          <w:szCs w:val="20"/>
        </w:rPr>
        <w:t>contraste realizado con las existencias que figuran en los registros contables a la fecha del inventario.</w:t>
      </w:r>
      <w:r w:rsidR="00A850DD">
        <w:rPr>
          <w:rFonts w:ascii="Century Gothic" w:hAnsi="Century Gothic" w:cs="Times New Roman"/>
          <w:sz w:val="20"/>
          <w:szCs w:val="20"/>
        </w:rPr>
        <w:tab/>
      </w:r>
    </w:p>
    <w:p w14:paraId="18E456BE" w14:textId="77777777" w:rsidR="0009628D" w:rsidRPr="00EA33A5" w:rsidRDefault="0009628D" w:rsidP="004F2A06">
      <w:pPr>
        <w:spacing w:after="0"/>
        <w:rPr>
          <w:rFonts w:ascii="Century Gothic" w:hAnsi="Century Gothic" w:cs="Times New Roman"/>
          <w:color w:val="44546A" w:themeColor="text2"/>
        </w:rPr>
      </w:pPr>
    </w:p>
    <w:p w14:paraId="0AE073F2" w14:textId="77777777" w:rsidR="0009628D" w:rsidRPr="00EA33A5" w:rsidRDefault="001108D5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Objetivos</w:t>
      </w:r>
    </w:p>
    <w:p w14:paraId="5FCCB1E0" w14:textId="77777777" w:rsidR="0009628D" w:rsidRDefault="00F1425E" w:rsidP="00F1425E">
      <w:pPr>
        <w:tabs>
          <w:tab w:val="left" w:pos="2595"/>
        </w:tabs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7BDD1" wp14:editId="6B29B09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F9927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AcGE24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AD0C999" w14:textId="36361961" w:rsidR="0009628D" w:rsidRPr="00367A68" w:rsidRDefault="001108D5" w:rsidP="00367A68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367A68">
        <w:rPr>
          <w:rFonts w:ascii="Century Gothic" w:hAnsi="Century Gothic" w:cs="Times New Roman"/>
          <w:sz w:val="20"/>
          <w:szCs w:val="20"/>
        </w:rPr>
        <w:t xml:space="preserve">El objetivo del presente instructivo es planificar la realización del inventario físico en los </w:t>
      </w:r>
      <w:r w:rsidR="00367A68" w:rsidRPr="00367A68">
        <w:rPr>
          <w:rFonts w:ascii="Century Gothic" w:hAnsi="Century Gothic" w:cs="Times New Roman"/>
          <w:sz w:val="20"/>
          <w:szCs w:val="20"/>
        </w:rPr>
        <w:t>depósitos</w:t>
      </w:r>
      <w:r w:rsidRPr="00367A68">
        <w:rPr>
          <w:rFonts w:ascii="Century Gothic" w:hAnsi="Century Gothic" w:cs="Times New Roman"/>
          <w:sz w:val="20"/>
          <w:szCs w:val="20"/>
        </w:rPr>
        <w:t xml:space="preserve"> de las empresas FG, organizar con los responsables de las existencias la logística necesaria para la toma de inventarios utilizando los criterios de </w:t>
      </w:r>
      <w:r w:rsidR="00367A68" w:rsidRPr="00367A68">
        <w:rPr>
          <w:rFonts w:ascii="Century Gothic" w:hAnsi="Century Gothic" w:cs="Times New Roman"/>
          <w:sz w:val="20"/>
          <w:szCs w:val="20"/>
        </w:rPr>
        <w:t>racionalidad</w:t>
      </w:r>
      <w:r w:rsidRPr="00367A68">
        <w:rPr>
          <w:rFonts w:ascii="Century Gothic" w:hAnsi="Century Gothic" w:cs="Times New Roman"/>
          <w:sz w:val="20"/>
          <w:szCs w:val="20"/>
        </w:rPr>
        <w:t>, economía y eficiencia</w:t>
      </w:r>
      <w:r w:rsidR="00367A68">
        <w:rPr>
          <w:rFonts w:ascii="Century Gothic" w:hAnsi="Century Gothic" w:cs="Times New Roman"/>
          <w:sz w:val="20"/>
          <w:szCs w:val="20"/>
        </w:rPr>
        <w:t xml:space="preserve">, </w:t>
      </w:r>
      <w:r w:rsidR="00367A68" w:rsidRPr="00367A68">
        <w:rPr>
          <w:rFonts w:ascii="Century Gothic" w:hAnsi="Century Gothic" w:cs="Times New Roman"/>
          <w:sz w:val="20"/>
          <w:szCs w:val="20"/>
        </w:rPr>
        <w:t>por</w:t>
      </w:r>
      <w:r w:rsidR="00367A68">
        <w:rPr>
          <w:rFonts w:ascii="Century Gothic" w:hAnsi="Century Gothic" w:cs="Times New Roman"/>
          <w:sz w:val="20"/>
          <w:szCs w:val="20"/>
        </w:rPr>
        <w:t xml:space="preserve"> </w:t>
      </w:r>
      <w:r w:rsidR="00367A68" w:rsidRPr="00367A68">
        <w:rPr>
          <w:rFonts w:ascii="Century Gothic" w:hAnsi="Century Gothic" w:cs="Times New Roman"/>
          <w:sz w:val="20"/>
          <w:szCs w:val="20"/>
        </w:rPr>
        <w:t>último,</w:t>
      </w:r>
      <w:r w:rsidRPr="00367A68">
        <w:rPr>
          <w:rFonts w:ascii="Century Gothic" w:hAnsi="Century Gothic" w:cs="Times New Roman"/>
          <w:sz w:val="20"/>
          <w:szCs w:val="20"/>
        </w:rPr>
        <w:t xml:space="preserve"> preparar el material neces</w:t>
      </w:r>
      <w:r w:rsidR="00367A68" w:rsidRPr="00367A68">
        <w:rPr>
          <w:rFonts w:ascii="Century Gothic" w:hAnsi="Century Gothic" w:cs="Times New Roman"/>
          <w:sz w:val="20"/>
          <w:szCs w:val="20"/>
        </w:rPr>
        <w:t>ario para la toma de inventario.</w:t>
      </w:r>
    </w:p>
    <w:p w14:paraId="46D2C9A6" w14:textId="77777777" w:rsidR="001108D5" w:rsidRDefault="001108D5" w:rsidP="00367A68">
      <w:pPr>
        <w:spacing w:after="0"/>
        <w:jc w:val="both"/>
        <w:rPr>
          <w:rFonts w:ascii="Century Gothic" w:hAnsi="Century Gothic" w:cs="Times New Roman"/>
        </w:rPr>
      </w:pPr>
    </w:p>
    <w:p w14:paraId="1F8EC1B2" w14:textId="77777777" w:rsidR="001108D5" w:rsidRPr="00EA33A5" w:rsidRDefault="001108D5" w:rsidP="004F2A06">
      <w:pPr>
        <w:spacing w:after="0"/>
        <w:rPr>
          <w:rFonts w:ascii="Century Gothic" w:hAnsi="Century Gothic" w:cs="Times New Roman"/>
          <w:color w:val="8496B0" w:themeColor="text2" w:themeTint="99"/>
        </w:rPr>
      </w:pPr>
    </w:p>
    <w:p w14:paraId="42A97BB7" w14:textId="77777777" w:rsidR="0009628D" w:rsidRPr="00EA33A5" w:rsidRDefault="004A46E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Ámbito</w:t>
      </w:r>
      <w:r w:rsidR="0009628D" w:rsidRPr="00EA33A5">
        <w:rPr>
          <w:rFonts w:ascii="Century Gothic" w:hAnsi="Century Gothic" w:cs="Times New Roman"/>
          <w:color w:val="8496B0" w:themeColor="text2" w:themeTint="99"/>
        </w:rPr>
        <w:t xml:space="preserve"> o Alcance</w:t>
      </w:r>
    </w:p>
    <w:p w14:paraId="7AFC0234" w14:textId="77777777" w:rsidR="00FF31DD" w:rsidRDefault="00AD20B0" w:rsidP="00160EFF">
      <w:pPr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7D357" wp14:editId="5F2385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6E6EA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DReiWT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30ED8638" w14:textId="7A6810C8" w:rsidR="004A46ED" w:rsidRDefault="005B6BD3" w:rsidP="00160EFF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alcance de este instructivo es Contabilidad</w:t>
      </w:r>
      <w:r w:rsidR="00367A68">
        <w:rPr>
          <w:rFonts w:ascii="Century Gothic" w:hAnsi="Century Gothic" w:cs="Times New Roman"/>
          <w:sz w:val="20"/>
          <w:szCs w:val="20"/>
        </w:rPr>
        <w:t xml:space="preserve"> </w:t>
      </w:r>
      <w:r w:rsidR="00C3498C">
        <w:rPr>
          <w:rFonts w:ascii="Century Gothic" w:hAnsi="Century Gothic" w:cs="Times New Roman"/>
          <w:sz w:val="20"/>
          <w:szCs w:val="20"/>
        </w:rPr>
        <w:t>Empresas</w:t>
      </w:r>
      <w:r w:rsidR="00367A68">
        <w:rPr>
          <w:rFonts w:ascii="Century Gothic" w:hAnsi="Century Gothic" w:cs="Times New Roman"/>
          <w:sz w:val="20"/>
          <w:szCs w:val="20"/>
        </w:rPr>
        <w:t xml:space="preserve"> FG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="00C3498C">
        <w:rPr>
          <w:rFonts w:ascii="Century Gothic" w:hAnsi="Century Gothic" w:cs="Times New Roman"/>
          <w:sz w:val="20"/>
          <w:szCs w:val="20"/>
        </w:rPr>
        <w:t>Auditoría Interna</w:t>
      </w:r>
      <w:r w:rsidR="00367A68">
        <w:rPr>
          <w:rFonts w:ascii="Century Gothic" w:hAnsi="Century Gothic" w:cs="Times New Roman"/>
          <w:sz w:val="20"/>
          <w:szCs w:val="20"/>
        </w:rPr>
        <w:t xml:space="preserve"> FG, Gerencia General FG, en la cual, se realizará la toma de inventario se incluyen las empresas </w:t>
      </w:r>
      <w:r w:rsidR="00513509">
        <w:rPr>
          <w:rFonts w:ascii="Century Gothic" w:hAnsi="Century Gothic" w:cs="Times New Roman"/>
          <w:sz w:val="20"/>
          <w:szCs w:val="20"/>
        </w:rPr>
        <w:t xml:space="preserve">asociadas </w:t>
      </w:r>
      <w:r w:rsidR="00367A68">
        <w:rPr>
          <w:rFonts w:ascii="Century Gothic" w:hAnsi="Century Gothic" w:cs="Times New Roman"/>
          <w:sz w:val="20"/>
          <w:szCs w:val="20"/>
        </w:rPr>
        <w:t>con participación del Grupo FG.</w:t>
      </w:r>
    </w:p>
    <w:p w14:paraId="2342D99A" w14:textId="77777777" w:rsidR="00AD20B0" w:rsidRPr="00EA33A5" w:rsidRDefault="00AD20B0" w:rsidP="00AD20B0">
      <w:pPr>
        <w:rPr>
          <w:rFonts w:ascii="Century Gothic" w:hAnsi="Century Gothic" w:cs="Times New Roman"/>
          <w:b/>
          <w:color w:val="8496B0" w:themeColor="text2" w:themeTint="99"/>
          <w:u w:val="single"/>
        </w:rPr>
      </w:pPr>
    </w:p>
    <w:p w14:paraId="56A2B8D1" w14:textId="77777777" w:rsidR="0009628D" w:rsidRPr="00EA33A5" w:rsidRDefault="000333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Gobernabilidad</w:t>
      </w:r>
    </w:p>
    <w:p w14:paraId="3B991BE4" w14:textId="77777777" w:rsidR="0003338D" w:rsidRDefault="00AD20B0" w:rsidP="0003338D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B115C" wp14:editId="3965F16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8B8BE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Di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BCFDE3B" w14:textId="55C21ADB" w:rsidR="0003338D" w:rsidRDefault="004A46ED" w:rsidP="00727B6E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instructivo</w:t>
      </w:r>
      <w:r w:rsidR="005B6BD3">
        <w:rPr>
          <w:rFonts w:ascii="Century Gothic" w:hAnsi="Century Gothic" w:cs="Times New Roman"/>
          <w:sz w:val="20"/>
          <w:szCs w:val="20"/>
        </w:rPr>
        <w:t xml:space="preserve"> será</w:t>
      </w:r>
      <w:r w:rsidR="00855204">
        <w:rPr>
          <w:rFonts w:ascii="Century Gothic" w:hAnsi="Century Gothic" w:cs="Times New Roman"/>
          <w:sz w:val="20"/>
          <w:szCs w:val="20"/>
        </w:rPr>
        <w:t xml:space="preserve"> </w:t>
      </w:r>
      <w:r w:rsidR="005B6BD3">
        <w:rPr>
          <w:rFonts w:ascii="Century Gothic" w:hAnsi="Century Gothic" w:cs="Times New Roman"/>
          <w:sz w:val="20"/>
          <w:szCs w:val="20"/>
        </w:rPr>
        <w:t xml:space="preserve">monitoreado, </w:t>
      </w:r>
      <w:r w:rsidR="00F76710">
        <w:rPr>
          <w:rFonts w:ascii="Century Gothic" w:hAnsi="Century Gothic" w:cs="Times New Roman"/>
          <w:sz w:val="20"/>
          <w:szCs w:val="20"/>
        </w:rPr>
        <w:t>en su correcta ejecución y cumplimiento</w:t>
      </w:r>
      <w:r w:rsidR="005B6BD3">
        <w:rPr>
          <w:rFonts w:ascii="Century Gothic" w:hAnsi="Century Gothic" w:cs="Times New Roman"/>
          <w:sz w:val="20"/>
          <w:szCs w:val="20"/>
        </w:rPr>
        <w:t xml:space="preserve"> </w:t>
      </w:r>
      <w:r w:rsidR="00367A68">
        <w:rPr>
          <w:rFonts w:ascii="Century Gothic" w:hAnsi="Century Gothic" w:cs="Times New Roman"/>
          <w:sz w:val="20"/>
          <w:szCs w:val="20"/>
        </w:rPr>
        <w:t xml:space="preserve">por </w:t>
      </w:r>
      <w:r w:rsidR="00513509">
        <w:rPr>
          <w:rFonts w:ascii="Century Gothic" w:hAnsi="Century Gothic" w:cs="Times New Roman"/>
          <w:sz w:val="20"/>
          <w:szCs w:val="20"/>
        </w:rPr>
        <w:t xml:space="preserve">Contabilidad </w:t>
      </w:r>
      <w:r w:rsidR="00367A68">
        <w:rPr>
          <w:rFonts w:ascii="Century Gothic" w:hAnsi="Century Gothic" w:cs="Times New Roman"/>
          <w:sz w:val="20"/>
          <w:szCs w:val="20"/>
        </w:rPr>
        <w:t>FG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708D668E" w14:textId="77777777" w:rsidR="0003338D" w:rsidRDefault="0003338D" w:rsidP="004A46ED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7BA44FCA" w14:textId="77777777" w:rsidR="0003338D" w:rsidRDefault="0003338D" w:rsidP="0003338D">
      <w:pPr>
        <w:rPr>
          <w:rFonts w:ascii="Century Gothic" w:hAnsi="Century Gothic" w:cs="Times New Roman"/>
          <w:b/>
          <w:u w:val="single"/>
        </w:rPr>
      </w:pPr>
    </w:p>
    <w:p w14:paraId="06C3F813" w14:textId="77777777" w:rsidR="0003338D" w:rsidRPr="00EA33A5" w:rsidRDefault="002869F9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lastRenderedPageBreak/>
        <w:t>Definiciones Generales</w:t>
      </w:r>
    </w:p>
    <w:p w14:paraId="271096E5" w14:textId="77777777" w:rsidR="002869F9" w:rsidRDefault="00855204" w:rsidP="002869F9">
      <w:pPr>
        <w:ind w:left="360"/>
        <w:jc w:val="both"/>
        <w:rPr>
          <w:rFonts w:ascii="Century Gothic" w:hAnsi="Century Gothic" w:cs="Times New Roman"/>
          <w:b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9F2ED" wp14:editId="28193C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4FB50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kD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2798630" w14:textId="77777777" w:rsidR="00591D2F" w:rsidRDefault="002869F9" w:rsidP="002869F9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5.1. </w:t>
      </w:r>
      <w:r w:rsidRPr="002869F9">
        <w:rPr>
          <w:rFonts w:ascii="Century Gothic" w:hAnsi="Century Gothic" w:cs="Times New Roman"/>
          <w:b/>
          <w:sz w:val="20"/>
          <w:szCs w:val="20"/>
        </w:rPr>
        <w:t>Toma de Inventario:</w:t>
      </w:r>
      <w:r w:rsidR="00F76710">
        <w:rPr>
          <w:rFonts w:ascii="Century Gothic" w:hAnsi="Century Gothic" w:cs="Times New Roman"/>
          <w:sz w:val="20"/>
          <w:szCs w:val="20"/>
        </w:rPr>
        <w:t xml:space="preserve">  Verificación f</w:t>
      </w:r>
      <w:r w:rsidRPr="002869F9">
        <w:rPr>
          <w:rFonts w:ascii="Century Gothic" w:hAnsi="Century Gothic" w:cs="Times New Roman"/>
          <w:sz w:val="20"/>
          <w:szCs w:val="20"/>
        </w:rPr>
        <w:t xml:space="preserve">ísica en la cual, se constata la existencia o presencia </w:t>
      </w:r>
      <w:r>
        <w:rPr>
          <w:rFonts w:ascii="Century Gothic" w:hAnsi="Century Gothic" w:cs="Times New Roman"/>
          <w:sz w:val="20"/>
          <w:szCs w:val="20"/>
        </w:rPr>
        <w:t>real de los artículos inventariados en los registros de la Contabilidad a una fecha determinada, adicionalmente se verifica el estado de conservación y condiciones de seguridad.</w:t>
      </w:r>
    </w:p>
    <w:p w14:paraId="4B1DC5B7" w14:textId="77777777" w:rsidR="002869F9" w:rsidRDefault="002869F9" w:rsidP="00EA33A5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5036D4FF" w14:textId="77777777" w:rsidR="002869F9" w:rsidRDefault="002869F9" w:rsidP="00EA33A5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5.2. </w:t>
      </w:r>
      <w:r w:rsidRPr="002869F9">
        <w:rPr>
          <w:rFonts w:ascii="Century Gothic" w:hAnsi="Century Gothic" w:cs="Times New Roman"/>
          <w:b/>
          <w:sz w:val="20"/>
          <w:szCs w:val="20"/>
        </w:rPr>
        <w:t xml:space="preserve">Tipos de toma de </w:t>
      </w:r>
      <w:r>
        <w:rPr>
          <w:rFonts w:ascii="Century Gothic" w:hAnsi="Century Gothic" w:cs="Times New Roman"/>
          <w:b/>
          <w:sz w:val="20"/>
          <w:szCs w:val="20"/>
        </w:rPr>
        <w:t>inventario</w:t>
      </w:r>
      <w:r w:rsidR="00EA33A5">
        <w:rPr>
          <w:rFonts w:ascii="Century Gothic" w:hAnsi="Century Gothic" w:cs="Times New Roman"/>
          <w:b/>
          <w:sz w:val="20"/>
          <w:szCs w:val="20"/>
        </w:rPr>
        <w:t>:</w:t>
      </w:r>
    </w:p>
    <w:p w14:paraId="62961A78" w14:textId="77777777" w:rsidR="00F76710" w:rsidRDefault="00F76710" w:rsidP="00EA33A5">
      <w:pPr>
        <w:ind w:left="705"/>
        <w:jc w:val="both"/>
        <w:rPr>
          <w:rFonts w:ascii="Century Gothic" w:hAnsi="Century Gothic" w:cs="Times New Roman"/>
          <w:sz w:val="20"/>
          <w:szCs w:val="20"/>
        </w:rPr>
      </w:pPr>
    </w:p>
    <w:p w14:paraId="338253A6" w14:textId="77777777" w:rsidR="00503A76" w:rsidRPr="00503A76" w:rsidRDefault="002869F9" w:rsidP="00EA33A5">
      <w:pPr>
        <w:ind w:left="705"/>
        <w:jc w:val="both"/>
        <w:rPr>
          <w:rFonts w:ascii="Century Gothic" w:hAnsi="Century Gothic" w:cs="Times New Roman"/>
          <w:sz w:val="20"/>
          <w:szCs w:val="20"/>
        </w:rPr>
      </w:pPr>
      <w:r w:rsidRPr="00EA33A5">
        <w:rPr>
          <w:rFonts w:ascii="Century Gothic" w:hAnsi="Century Gothic" w:cs="Times New Roman"/>
          <w:sz w:val="20"/>
          <w:szCs w:val="20"/>
        </w:rPr>
        <w:t xml:space="preserve">5.2.1 </w:t>
      </w:r>
      <w:r w:rsidRPr="00EA33A5">
        <w:rPr>
          <w:rFonts w:ascii="Century Gothic" w:hAnsi="Century Gothic" w:cs="Times New Roman"/>
          <w:b/>
          <w:sz w:val="20"/>
          <w:szCs w:val="20"/>
        </w:rPr>
        <w:t>Inventario General</w:t>
      </w:r>
      <w:r w:rsidR="00EA33A5" w:rsidRPr="00EA33A5">
        <w:rPr>
          <w:rFonts w:ascii="Century Gothic" w:hAnsi="Century Gothic" w:cs="Times New Roman"/>
          <w:b/>
          <w:sz w:val="20"/>
          <w:szCs w:val="20"/>
        </w:rPr>
        <w:t>:</w:t>
      </w:r>
      <w:r w:rsidR="00EA33A5" w:rsidRPr="00EA33A5">
        <w:rPr>
          <w:rFonts w:ascii="Century Gothic" w:hAnsi="Century Gothic" w:cs="Times New Roman"/>
          <w:sz w:val="20"/>
          <w:szCs w:val="20"/>
        </w:rPr>
        <w:t xml:space="preserve"> </w:t>
      </w:r>
      <w:r w:rsidR="00503A76" w:rsidRPr="00EA33A5">
        <w:rPr>
          <w:rFonts w:ascii="Century Gothic" w:hAnsi="Century Gothic" w:cs="Times New Roman"/>
          <w:sz w:val="20"/>
          <w:szCs w:val="20"/>
        </w:rPr>
        <w:t>Incluye todos los bienes almacenados en los diferentes depósitos o ambientes.</w:t>
      </w:r>
      <w:r w:rsidR="00EA33A5" w:rsidRPr="00EA33A5">
        <w:rPr>
          <w:rFonts w:ascii="Century Gothic" w:hAnsi="Century Gothic" w:cs="Times New Roman"/>
          <w:sz w:val="20"/>
          <w:szCs w:val="20"/>
        </w:rPr>
        <w:t xml:space="preserve"> </w:t>
      </w:r>
      <w:r w:rsidR="00503A76" w:rsidRPr="00503A76">
        <w:rPr>
          <w:rFonts w:ascii="Century Gothic" w:hAnsi="Century Gothic" w:cs="Times New Roman"/>
          <w:sz w:val="20"/>
          <w:szCs w:val="20"/>
        </w:rPr>
        <w:t>Sirve de sustento a los EEFF y se debe realizar por lo menos una vez cada ejercicio.</w:t>
      </w:r>
    </w:p>
    <w:p w14:paraId="29CFC9EB" w14:textId="77777777" w:rsidR="002869F9" w:rsidRPr="00EA33A5" w:rsidRDefault="002869F9" w:rsidP="00EA33A5">
      <w:pPr>
        <w:ind w:left="705"/>
        <w:jc w:val="both"/>
        <w:rPr>
          <w:rFonts w:ascii="Century Gothic" w:hAnsi="Century Gothic" w:cs="Times New Roman"/>
          <w:sz w:val="20"/>
          <w:szCs w:val="20"/>
        </w:rPr>
      </w:pPr>
      <w:r w:rsidRPr="00EA33A5">
        <w:rPr>
          <w:rFonts w:ascii="Century Gothic" w:hAnsi="Century Gothic" w:cs="Times New Roman"/>
          <w:sz w:val="20"/>
          <w:szCs w:val="20"/>
        </w:rPr>
        <w:t xml:space="preserve">5.2.2 </w:t>
      </w:r>
      <w:r w:rsidRPr="00EA33A5">
        <w:rPr>
          <w:rFonts w:ascii="Century Gothic" w:hAnsi="Century Gothic" w:cs="Times New Roman"/>
          <w:b/>
          <w:sz w:val="20"/>
          <w:szCs w:val="20"/>
        </w:rPr>
        <w:t>Inventario Selectivo</w:t>
      </w:r>
      <w:r w:rsidR="00EA33A5" w:rsidRPr="00EA33A5">
        <w:rPr>
          <w:rFonts w:ascii="Century Gothic" w:hAnsi="Century Gothic" w:cs="Times New Roman"/>
          <w:b/>
          <w:sz w:val="20"/>
          <w:szCs w:val="20"/>
        </w:rPr>
        <w:t>:</w:t>
      </w:r>
      <w:r w:rsidR="00EA33A5" w:rsidRPr="00EA33A5">
        <w:rPr>
          <w:rFonts w:ascii="Century Gothic" w:hAnsi="Century Gothic" w:cs="Times New Roman"/>
          <w:sz w:val="20"/>
          <w:szCs w:val="20"/>
        </w:rPr>
        <w:t xml:space="preserve"> Incluye grupo específico de bienes seleccionados. Se realiza para comprobar existencia o verificar que registro se encuentre al día.</w:t>
      </w:r>
    </w:p>
    <w:p w14:paraId="23820235" w14:textId="77777777" w:rsidR="00EA33A5" w:rsidRPr="00EA33A5" w:rsidRDefault="002869F9" w:rsidP="00EA33A5">
      <w:pPr>
        <w:spacing w:before="100" w:beforeAutospacing="1" w:after="100" w:afterAutospacing="1" w:line="240" w:lineRule="auto"/>
        <w:ind w:left="720"/>
        <w:jc w:val="both"/>
        <w:rPr>
          <w:rFonts w:ascii="Century Gothic" w:hAnsi="Century Gothic" w:cs="Times New Roman"/>
          <w:sz w:val="20"/>
          <w:szCs w:val="20"/>
        </w:rPr>
      </w:pPr>
      <w:r w:rsidRPr="00EA33A5">
        <w:rPr>
          <w:rFonts w:ascii="Century Gothic" w:hAnsi="Century Gothic" w:cs="Times New Roman"/>
          <w:sz w:val="20"/>
          <w:szCs w:val="20"/>
        </w:rPr>
        <w:t xml:space="preserve">5.2.3 </w:t>
      </w:r>
      <w:r w:rsidRPr="00EA33A5">
        <w:rPr>
          <w:rFonts w:ascii="Century Gothic" w:hAnsi="Century Gothic" w:cs="Times New Roman"/>
          <w:b/>
          <w:sz w:val="20"/>
          <w:szCs w:val="20"/>
        </w:rPr>
        <w:t>Inventario Barrido</w:t>
      </w:r>
      <w:r w:rsidR="00EA33A5" w:rsidRPr="00EA33A5">
        <w:rPr>
          <w:rFonts w:ascii="Century Gothic" w:hAnsi="Century Gothic" w:cs="Times New Roman"/>
          <w:b/>
          <w:sz w:val="20"/>
          <w:szCs w:val="20"/>
        </w:rPr>
        <w:t>:</w:t>
      </w:r>
      <w:r w:rsidR="00EA33A5" w:rsidRPr="00EA33A5">
        <w:rPr>
          <w:rFonts w:ascii="Century Gothic" w:hAnsi="Century Gothic" w:cs="Times New Roman"/>
          <w:sz w:val="20"/>
          <w:szCs w:val="20"/>
        </w:rPr>
        <w:t xml:space="preserve"> Inventario en una zona determinada, efectuando conteo de todos los bienes encontrados sin excepción. Se hace cuando la empresa desconoce bienes almacenados.</w:t>
      </w:r>
    </w:p>
    <w:p w14:paraId="4D9B69D2" w14:textId="233AA2C4" w:rsidR="0036476F" w:rsidRDefault="0036476F" w:rsidP="0036476F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5.3. Preparación Previa: </w:t>
      </w:r>
      <w:r w:rsidRPr="0036476F">
        <w:rPr>
          <w:rFonts w:ascii="Century Gothic" w:hAnsi="Century Gothic" w:cs="Times New Roman"/>
          <w:sz w:val="20"/>
          <w:szCs w:val="20"/>
        </w:rPr>
        <w:t>Consis</w:t>
      </w:r>
      <w:r>
        <w:rPr>
          <w:rFonts w:ascii="Century Gothic" w:hAnsi="Century Gothic" w:cs="Times New Roman"/>
          <w:sz w:val="20"/>
          <w:szCs w:val="20"/>
        </w:rPr>
        <w:t xml:space="preserve">te en realizar un corte documentario en común acuerdo entre </w:t>
      </w:r>
      <w:r w:rsidR="00DC19E5">
        <w:rPr>
          <w:rFonts w:ascii="Century Gothic" w:hAnsi="Century Gothic" w:cs="Times New Roman"/>
          <w:sz w:val="20"/>
          <w:szCs w:val="20"/>
        </w:rPr>
        <w:t>ente revisor</w:t>
      </w:r>
      <w:r>
        <w:rPr>
          <w:rFonts w:ascii="Century Gothic" w:hAnsi="Century Gothic" w:cs="Times New Roman"/>
          <w:sz w:val="20"/>
          <w:szCs w:val="20"/>
        </w:rPr>
        <w:t xml:space="preserve"> y la Gerencia de la empresa a inventariar, para determinar la última transacción del periodo que se revisará, puede ser una entrada, una salida o un documento </w:t>
      </w:r>
      <w:r w:rsidR="00F40831">
        <w:rPr>
          <w:rFonts w:ascii="Century Gothic" w:hAnsi="Century Gothic" w:cs="Times New Roman"/>
          <w:sz w:val="20"/>
          <w:szCs w:val="20"/>
        </w:rPr>
        <w:t>extrasistema</w:t>
      </w:r>
      <w:r>
        <w:rPr>
          <w:rFonts w:ascii="Century Gothic" w:hAnsi="Century Gothic" w:cs="Times New Roman"/>
          <w:sz w:val="20"/>
          <w:szCs w:val="20"/>
        </w:rPr>
        <w:t xml:space="preserve"> con folio, por parte del sistema computacional se extrae el Kardex para determinar el universo de insumos y las dependencias en las cuales se custodian, además del saldo de existencias a la fecha de corte.</w:t>
      </w:r>
    </w:p>
    <w:p w14:paraId="0EFC3485" w14:textId="77777777" w:rsidR="00F76710" w:rsidRDefault="00F76710" w:rsidP="002869F9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C778B42" w14:textId="77777777" w:rsidR="00F76710" w:rsidRPr="00EA33A5" w:rsidRDefault="009010C9" w:rsidP="00F76710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>
        <w:rPr>
          <w:rFonts w:ascii="Century Gothic" w:hAnsi="Century Gothic" w:cs="Times New Roman"/>
          <w:color w:val="8496B0" w:themeColor="text2" w:themeTint="99"/>
        </w:rPr>
        <w:t>Procedimiento: Programación toma de inventario</w:t>
      </w:r>
    </w:p>
    <w:p w14:paraId="112664FB" w14:textId="77777777" w:rsidR="00F76710" w:rsidRPr="002869F9" w:rsidRDefault="00F76710" w:rsidP="009010C9">
      <w:pPr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0886B" wp14:editId="5A1E73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D1A30" id="Conector rec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Cvza9u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08FCAA5C" w14:textId="0C7F0D26" w:rsidR="009010C9" w:rsidRDefault="009010C9" w:rsidP="009010C9">
      <w:pPr>
        <w:jc w:val="both"/>
        <w:rPr>
          <w:rFonts w:ascii="Century Gothic" w:hAnsi="Century Gothic" w:cs="Times New Roman"/>
          <w:sz w:val="20"/>
          <w:szCs w:val="20"/>
        </w:rPr>
      </w:pPr>
      <w:r w:rsidRPr="0036476F">
        <w:rPr>
          <w:rFonts w:ascii="Century Gothic" w:hAnsi="Century Gothic" w:cs="Times New Roman"/>
          <w:sz w:val="20"/>
          <w:szCs w:val="20"/>
        </w:rPr>
        <w:t>6.1.</w:t>
      </w:r>
      <w:r w:rsidR="00DC19E5">
        <w:rPr>
          <w:rFonts w:ascii="Century Gothic" w:hAnsi="Century Gothic" w:cs="Times New Roman"/>
          <w:sz w:val="20"/>
          <w:szCs w:val="20"/>
        </w:rPr>
        <w:t xml:space="preserve"> La</w:t>
      </w:r>
      <w:r w:rsidRPr="0036476F">
        <w:rPr>
          <w:rFonts w:ascii="Century Gothic" w:hAnsi="Century Gothic" w:cs="Times New Roman"/>
          <w:sz w:val="20"/>
          <w:szCs w:val="20"/>
        </w:rPr>
        <w:t xml:space="preserve"> Gerencia</w:t>
      </w:r>
      <w:r w:rsidR="00EA121D">
        <w:rPr>
          <w:rFonts w:ascii="Century Gothic" w:hAnsi="Century Gothic" w:cs="Times New Roman"/>
          <w:sz w:val="20"/>
          <w:szCs w:val="20"/>
        </w:rPr>
        <w:t xml:space="preserve"> de</w:t>
      </w:r>
      <w:r w:rsidRPr="0036476F">
        <w:rPr>
          <w:rFonts w:ascii="Century Gothic" w:hAnsi="Century Gothic" w:cs="Times New Roman"/>
          <w:sz w:val="20"/>
          <w:szCs w:val="20"/>
        </w:rPr>
        <w:t xml:space="preserve"> empresa a inventariar: </w:t>
      </w:r>
      <w:r w:rsidRPr="009010C9">
        <w:rPr>
          <w:rFonts w:ascii="Century Gothic" w:hAnsi="Century Gothic" w:cs="Times New Roman"/>
          <w:sz w:val="20"/>
          <w:szCs w:val="20"/>
        </w:rPr>
        <w:t>Dispondrá</w:t>
      </w:r>
      <w:r>
        <w:rPr>
          <w:rFonts w:ascii="Century Gothic" w:hAnsi="Century Gothic" w:cs="Times New Roman"/>
          <w:sz w:val="20"/>
          <w:szCs w:val="20"/>
        </w:rPr>
        <w:t xml:space="preserve"> de la oportunidad en que debe realizarse el inventario</w:t>
      </w:r>
      <w:r w:rsidR="000D4E99">
        <w:rPr>
          <w:rFonts w:ascii="Century Gothic" w:hAnsi="Century Gothic" w:cs="Times New Roman"/>
          <w:sz w:val="20"/>
          <w:szCs w:val="20"/>
        </w:rPr>
        <w:t>, propuesta original será emanada de Contabilidad MCA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60202F3C" w14:textId="7C31A10F" w:rsidR="009010C9" w:rsidRDefault="009010C9" w:rsidP="009010C9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6.2.- </w:t>
      </w:r>
      <w:r w:rsidR="000D4E99">
        <w:rPr>
          <w:rFonts w:ascii="Century Gothic" w:hAnsi="Century Gothic" w:cs="Times New Roman"/>
          <w:sz w:val="20"/>
          <w:szCs w:val="20"/>
        </w:rPr>
        <w:t>Contabilidad MCA</w:t>
      </w:r>
      <w:r>
        <w:rPr>
          <w:rFonts w:ascii="Century Gothic" w:hAnsi="Century Gothic" w:cs="Times New Roman"/>
          <w:sz w:val="20"/>
          <w:szCs w:val="20"/>
        </w:rPr>
        <w:t>: Generará cronograma de inventario según punto 6.1.-</w:t>
      </w:r>
    </w:p>
    <w:p w14:paraId="4DC10A41" w14:textId="41293348" w:rsidR="009010C9" w:rsidRDefault="009010C9" w:rsidP="009010C9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6.3.- </w:t>
      </w:r>
      <w:r w:rsidR="000D4E99">
        <w:rPr>
          <w:rFonts w:ascii="Century Gothic" w:hAnsi="Century Gothic" w:cs="Times New Roman"/>
          <w:sz w:val="20"/>
          <w:szCs w:val="20"/>
        </w:rPr>
        <w:t>La Gerencia de empresa a auditar</w:t>
      </w:r>
      <w:r>
        <w:rPr>
          <w:rFonts w:ascii="Century Gothic" w:hAnsi="Century Gothic" w:cs="Times New Roman"/>
          <w:sz w:val="20"/>
          <w:szCs w:val="20"/>
        </w:rPr>
        <w:t xml:space="preserve">: informará </w:t>
      </w:r>
      <w:r w:rsidR="0036476F">
        <w:rPr>
          <w:rFonts w:ascii="Century Gothic" w:hAnsi="Century Gothic" w:cs="Times New Roman"/>
          <w:sz w:val="20"/>
          <w:szCs w:val="20"/>
        </w:rPr>
        <w:t>a el responsable de las bodegas, depósitos o lugares de almacenamiento de los insumos de la empresa.</w:t>
      </w:r>
    </w:p>
    <w:p w14:paraId="01B34A51" w14:textId="77777777" w:rsidR="0036476F" w:rsidRDefault="0036476F" w:rsidP="009010C9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6.4.- El responsable de las dependencias de custodia, dispondrá del lugar para la toma del inventario:</w:t>
      </w:r>
    </w:p>
    <w:p w14:paraId="5636ABB7" w14:textId="77777777" w:rsidR="0036476F" w:rsidRDefault="0036476F" w:rsidP="0036476F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6.4.1.- Deberá mantener codificado según los recursos del sistema computacional los insumos que se encuentran bajo su custodia.</w:t>
      </w:r>
    </w:p>
    <w:p w14:paraId="0A665E5B" w14:textId="77777777" w:rsidR="0036476F" w:rsidRDefault="0036476F" w:rsidP="00F40831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>6.4.</w:t>
      </w:r>
      <w:r w:rsidR="00F40831">
        <w:rPr>
          <w:rFonts w:ascii="Century Gothic" w:hAnsi="Century Gothic" w:cs="Times New Roman"/>
          <w:sz w:val="20"/>
          <w:szCs w:val="20"/>
        </w:rPr>
        <w:t>2</w:t>
      </w:r>
      <w:r>
        <w:rPr>
          <w:rFonts w:ascii="Century Gothic" w:hAnsi="Century Gothic" w:cs="Times New Roman"/>
          <w:sz w:val="20"/>
          <w:szCs w:val="20"/>
        </w:rPr>
        <w:t>.- Deberá mantener actualizado</w:t>
      </w:r>
      <w:r w:rsidR="00C054AF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el software computacional registrando transacción de los documentos que operé guía, ingreso, factura para las entradas y pa</w:t>
      </w:r>
      <w:r w:rsidR="00F40831">
        <w:rPr>
          <w:rFonts w:ascii="Century Gothic" w:hAnsi="Century Gothic" w:cs="Times New Roman"/>
          <w:sz w:val="20"/>
          <w:szCs w:val="20"/>
        </w:rPr>
        <w:t>ra las salidas talonario de sali</w:t>
      </w:r>
      <w:r>
        <w:rPr>
          <w:rFonts w:ascii="Century Gothic" w:hAnsi="Century Gothic" w:cs="Times New Roman"/>
          <w:sz w:val="20"/>
          <w:szCs w:val="20"/>
        </w:rPr>
        <w:t>da o vale de cons</w:t>
      </w:r>
      <w:r w:rsidR="000A636E">
        <w:rPr>
          <w:rFonts w:ascii="Century Gothic" w:hAnsi="Century Gothic" w:cs="Times New Roman"/>
          <w:sz w:val="20"/>
          <w:szCs w:val="20"/>
        </w:rPr>
        <w:t>umo.</w:t>
      </w:r>
    </w:p>
    <w:p w14:paraId="143E8F7F" w14:textId="77777777" w:rsidR="0036476F" w:rsidRDefault="0036476F" w:rsidP="00F40831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 w:rsidR="00F40831">
        <w:rPr>
          <w:rFonts w:ascii="Century Gothic" w:hAnsi="Century Gothic" w:cs="Times New Roman"/>
          <w:sz w:val="20"/>
          <w:szCs w:val="20"/>
        </w:rPr>
        <w:t>6.4.</w:t>
      </w:r>
      <w:r w:rsidR="000A636E">
        <w:rPr>
          <w:rFonts w:ascii="Century Gothic" w:hAnsi="Century Gothic" w:cs="Times New Roman"/>
          <w:sz w:val="20"/>
          <w:szCs w:val="20"/>
        </w:rPr>
        <w:t>3</w:t>
      </w:r>
      <w:r>
        <w:rPr>
          <w:rFonts w:ascii="Century Gothic" w:hAnsi="Century Gothic" w:cs="Times New Roman"/>
          <w:sz w:val="20"/>
          <w:szCs w:val="20"/>
        </w:rPr>
        <w:t>.- Pondrá énfasis en la limpieza y orden del recinto.</w:t>
      </w:r>
    </w:p>
    <w:p w14:paraId="3F13A4B9" w14:textId="4D7442FF" w:rsidR="002869F9" w:rsidRDefault="0036476F" w:rsidP="0036476F">
      <w:pPr>
        <w:ind w:left="708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6.4.</w:t>
      </w:r>
      <w:r w:rsidR="000A636E">
        <w:rPr>
          <w:rFonts w:ascii="Century Gothic" w:hAnsi="Century Gothic" w:cs="Times New Roman"/>
          <w:sz w:val="20"/>
          <w:szCs w:val="20"/>
        </w:rPr>
        <w:t>4</w:t>
      </w:r>
      <w:r>
        <w:rPr>
          <w:rFonts w:ascii="Century Gothic" w:hAnsi="Century Gothic" w:cs="Times New Roman"/>
          <w:sz w:val="20"/>
          <w:szCs w:val="20"/>
        </w:rPr>
        <w:t xml:space="preserve">.- Designará el responsable de atender al personal de </w:t>
      </w:r>
      <w:r w:rsidR="008467F6">
        <w:rPr>
          <w:rFonts w:ascii="Century Gothic" w:hAnsi="Century Gothic" w:cs="Times New Roman"/>
          <w:sz w:val="20"/>
          <w:szCs w:val="20"/>
        </w:rPr>
        <w:t>Contabilidad</w:t>
      </w:r>
      <w:r>
        <w:rPr>
          <w:rFonts w:ascii="Century Gothic" w:hAnsi="Century Gothic" w:cs="Times New Roman"/>
          <w:sz w:val="20"/>
          <w:szCs w:val="20"/>
        </w:rPr>
        <w:t xml:space="preserve"> FG y adoptará las acciones pertinentes para contar con los medios adecuados para la realización eficiente y segura del inventario.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6FA31FC7" w14:textId="77777777" w:rsidR="000A636E" w:rsidRDefault="000A636E" w:rsidP="0036476F">
      <w:pPr>
        <w:ind w:left="708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6006F593" w14:textId="77777777" w:rsidR="000A636E" w:rsidRDefault="000A636E" w:rsidP="000A636E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607F1FB" w14:textId="77777777" w:rsidR="000A636E" w:rsidRDefault="000A636E" w:rsidP="000A636E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lang w:val="es-CO"/>
        </w:rPr>
        <w:tab/>
        <w:t xml:space="preserve"> </w:t>
      </w:r>
    </w:p>
    <w:p w14:paraId="79DADB09" w14:textId="77777777" w:rsidR="000A636E" w:rsidRPr="000A636E" w:rsidRDefault="000A636E" w:rsidP="000A636E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0A636E">
        <w:rPr>
          <w:rFonts w:ascii="Century Gothic" w:hAnsi="Century Gothic" w:cs="Times New Roman"/>
          <w:color w:val="8496B0" w:themeColor="text2" w:themeTint="99"/>
        </w:rPr>
        <w:t>Procedimiento: Toma de inventario</w:t>
      </w:r>
    </w:p>
    <w:p w14:paraId="5C11D297" w14:textId="77777777" w:rsidR="000A636E" w:rsidRPr="002869F9" w:rsidRDefault="000A636E" w:rsidP="000A636E">
      <w:pPr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495332" wp14:editId="610995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CE172" id="Conector recto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32C8E178" w14:textId="77777777" w:rsidR="000A636E" w:rsidRDefault="000A636E" w:rsidP="0036476F">
      <w:pPr>
        <w:ind w:left="708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5F7E80AC" w14:textId="7EF18682" w:rsidR="00F40831" w:rsidRPr="00F40831" w:rsidRDefault="000A636E" w:rsidP="0036476F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7.1.</w:t>
      </w:r>
      <w:r w:rsidR="00F40831" w:rsidRPr="00F40831">
        <w:rPr>
          <w:rFonts w:ascii="Century Gothic" w:hAnsi="Century Gothic" w:cs="Times New Roman"/>
          <w:sz w:val="20"/>
          <w:szCs w:val="20"/>
        </w:rPr>
        <w:t xml:space="preserve">- </w:t>
      </w:r>
      <w:r w:rsidR="009805DD">
        <w:rPr>
          <w:rFonts w:ascii="Century Gothic" w:hAnsi="Century Gothic" w:cs="Times New Roman"/>
          <w:sz w:val="20"/>
          <w:szCs w:val="20"/>
        </w:rPr>
        <w:t>Contabilidad de MCA</w:t>
      </w:r>
      <w:r w:rsidR="00F40831" w:rsidRPr="00F40831">
        <w:rPr>
          <w:rFonts w:ascii="Century Gothic" w:hAnsi="Century Gothic" w:cs="Times New Roman"/>
          <w:sz w:val="20"/>
          <w:szCs w:val="20"/>
        </w:rPr>
        <w:t xml:space="preserve"> extraerá el Kardex desde sistema computacional a la fecha determinada posterior a la confirmación del punto 6.4.4, puesto que será la base de revisión.</w:t>
      </w:r>
    </w:p>
    <w:p w14:paraId="131B3CA6" w14:textId="6EB26750" w:rsidR="000A636E" w:rsidRDefault="000A636E" w:rsidP="000A636E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7.2.-</w:t>
      </w:r>
      <w:r w:rsidRPr="00F40831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En el día y lugar acordados se </w:t>
      </w:r>
      <w:r w:rsidR="003153E1">
        <w:rPr>
          <w:rFonts w:ascii="Century Gothic" w:hAnsi="Century Gothic" w:cs="Times New Roman"/>
          <w:sz w:val="20"/>
          <w:szCs w:val="20"/>
        </w:rPr>
        <w:t>reunirá</w:t>
      </w:r>
      <w:r w:rsidR="00330174">
        <w:rPr>
          <w:rFonts w:ascii="Century Gothic" w:hAnsi="Century Gothic" w:cs="Times New Roman"/>
          <w:sz w:val="20"/>
          <w:szCs w:val="20"/>
        </w:rPr>
        <w:t>n</w:t>
      </w:r>
      <w:r w:rsidR="003153E1">
        <w:rPr>
          <w:rFonts w:ascii="Century Gothic" w:hAnsi="Century Gothic" w:cs="Times New Roman"/>
          <w:sz w:val="20"/>
          <w:szCs w:val="20"/>
        </w:rPr>
        <w:t xml:space="preserve"> las</w:t>
      </w:r>
      <w:r w:rsidR="00E0380D">
        <w:rPr>
          <w:rFonts w:ascii="Century Gothic" w:hAnsi="Century Gothic" w:cs="Times New Roman"/>
          <w:sz w:val="20"/>
          <w:szCs w:val="20"/>
        </w:rPr>
        <w:t xml:space="preserve"> </w:t>
      </w:r>
      <w:r w:rsidR="00463D42">
        <w:rPr>
          <w:rFonts w:ascii="Century Gothic" w:hAnsi="Century Gothic" w:cs="Times New Roman"/>
          <w:sz w:val="20"/>
          <w:szCs w:val="20"/>
        </w:rPr>
        <w:t>partes quien</w:t>
      </w:r>
      <w:r>
        <w:rPr>
          <w:rFonts w:ascii="Century Gothic" w:hAnsi="Century Gothic" w:cs="Times New Roman"/>
          <w:sz w:val="20"/>
          <w:szCs w:val="20"/>
        </w:rPr>
        <w:t xml:space="preserve"> presentará al encargado de las existencias. </w:t>
      </w:r>
      <w:r w:rsidR="00E32A1B">
        <w:rPr>
          <w:rFonts w:ascii="Century Gothic" w:hAnsi="Century Gothic" w:cs="Times New Roman"/>
          <w:sz w:val="20"/>
          <w:szCs w:val="20"/>
        </w:rPr>
        <w:t>Se firmarán Actas Adjuntas.</w:t>
      </w:r>
    </w:p>
    <w:bookmarkStart w:id="0" w:name="_MON_1604944472"/>
    <w:bookmarkEnd w:id="0"/>
    <w:p w14:paraId="16F270F1" w14:textId="77777777" w:rsidR="00E32A1B" w:rsidRPr="00F40831" w:rsidRDefault="00E32A1B" w:rsidP="000A636E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object w:dxaOrig="1534" w:dyaOrig="997" w14:anchorId="47C113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45pt" o:ole="">
            <v:imagedata r:id="rId11" o:title=""/>
          </v:shape>
          <o:OLEObject Type="Embed" ProgID="Word.Document.12" ShapeID="_x0000_i1025" DrawAspect="Icon" ObjectID="_1762596733" r:id="rId12">
            <o:FieldCodes>\s</o:FieldCodes>
          </o:OLEObject>
        </w:object>
      </w:r>
      <w:bookmarkStart w:id="1" w:name="_MON_1604944469"/>
      <w:bookmarkEnd w:id="1"/>
      <w:r w:rsidR="00310235">
        <w:rPr>
          <w:rFonts w:ascii="Century Gothic" w:hAnsi="Century Gothic" w:cs="Times New Roman"/>
          <w:sz w:val="20"/>
          <w:szCs w:val="20"/>
        </w:rPr>
        <w:object w:dxaOrig="1534" w:dyaOrig="997" w14:anchorId="55235687">
          <v:shape id="_x0000_i1026" type="#_x0000_t75" style="width:76.85pt;height:49.95pt" o:ole="">
            <v:imagedata r:id="rId13" o:title=""/>
          </v:shape>
          <o:OLEObject Type="Embed" ProgID="Word.Document.12" ShapeID="_x0000_i1026" DrawAspect="Icon" ObjectID="_1762596734" r:id="rId14">
            <o:FieldCodes>\s</o:FieldCodes>
          </o:OLEObject>
        </w:object>
      </w:r>
    </w:p>
    <w:p w14:paraId="6DE38FB6" w14:textId="50FCD3FC" w:rsidR="000A636E" w:rsidRDefault="000A636E" w:rsidP="000A636E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7.3.-</w:t>
      </w:r>
      <w:r w:rsidRPr="00F40831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Se completará por parte de </w:t>
      </w:r>
      <w:r w:rsidR="00463D42">
        <w:rPr>
          <w:rFonts w:ascii="Century Gothic" w:hAnsi="Century Gothic" w:cs="Times New Roman"/>
          <w:sz w:val="20"/>
          <w:szCs w:val="20"/>
        </w:rPr>
        <w:t>Contabilidad MCA</w:t>
      </w:r>
      <w:r>
        <w:rPr>
          <w:rFonts w:ascii="Century Gothic" w:hAnsi="Century Gothic" w:cs="Times New Roman"/>
          <w:sz w:val="20"/>
          <w:szCs w:val="20"/>
        </w:rPr>
        <w:t xml:space="preserve"> en conjunto con el responsable de la empresa inventariada del documento corte documentario, el cual, será firmado en acuerdo de las partes.</w:t>
      </w:r>
    </w:p>
    <w:bookmarkStart w:id="2" w:name="_MON_1638274295"/>
    <w:bookmarkEnd w:id="2"/>
    <w:p w14:paraId="4E0D21DE" w14:textId="5DE22A32" w:rsidR="000A636E" w:rsidRDefault="004A212D" w:rsidP="00F71FC8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object w:dxaOrig="1311" w:dyaOrig="849" w14:anchorId="47BB6C0F">
          <v:shape id="_x0000_i1049" type="#_x0000_t75" style="width:65.55pt;height:41.9pt" o:ole="">
            <v:imagedata r:id="rId15" o:title=""/>
          </v:shape>
          <o:OLEObject Type="Embed" ProgID="Excel.Sheet.12" ShapeID="_x0000_i1049" DrawAspect="Icon" ObjectID="_1762596735" r:id="rId16"/>
        </w:object>
      </w:r>
    </w:p>
    <w:p w14:paraId="68D91916" w14:textId="77777777" w:rsidR="000A636E" w:rsidRDefault="000A636E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7.4.- </w:t>
      </w:r>
      <w:r w:rsidRPr="000A636E">
        <w:rPr>
          <w:rFonts w:ascii="Century Gothic" w:hAnsi="Century Gothic" w:cs="Times New Roman"/>
          <w:sz w:val="20"/>
          <w:szCs w:val="20"/>
        </w:rPr>
        <w:t xml:space="preserve">Una vez concluido el corte documentario, el encargado </w:t>
      </w:r>
      <w:r w:rsidR="00F71FC8">
        <w:rPr>
          <w:rFonts w:ascii="Century Gothic" w:hAnsi="Century Gothic" w:cs="Times New Roman"/>
          <w:sz w:val="20"/>
          <w:szCs w:val="20"/>
        </w:rPr>
        <w:t xml:space="preserve">de las existencias, </w:t>
      </w:r>
      <w:r w:rsidRPr="000A636E">
        <w:rPr>
          <w:rFonts w:ascii="Century Gothic" w:hAnsi="Century Gothic" w:cs="Times New Roman"/>
          <w:sz w:val="20"/>
          <w:szCs w:val="20"/>
        </w:rPr>
        <w:t xml:space="preserve">procederá a ingresar al sistema </w:t>
      </w:r>
      <w:r w:rsidR="00F71FC8">
        <w:rPr>
          <w:rFonts w:ascii="Century Gothic" w:hAnsi="Century Gothic" w:cs="Times New Roman"/>
          <w:sz w:val="20"/>
          <w:szCs w:val="20"/>
        </w:rPr>
        <w:t>computacional</w:t>
      </w:r>
      <w:r w:rsidRPr="000A636E">
        <w:rPr>
          <w:rFonts w:ascii="Century Gothic" w:hAnsi="Century Gothic" w:cs="Times New Roman"/>
          <w:sz w:val="20"/>
          <w:szCs w:val="20"/>
        </w:rPr>
        <w:t xml:space="preserve"> las notas de ingreso 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0A636E">
        <w:rPr>
          <w:rFonts w:ascii="Century Gothic" w:hAnsi="Century Gothic" w:cs="Times New Roman"/>
          <w:sz w:val="20"/>
          <w:szCs w:val="20"/>
        </w:rPr>
        <w:t>salida de por tramitar que figuran el en documento Corte de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F71FC8">
        <w:rPr>
          <w:rFonts w:ascii="Century Gothic" w:hAnsi="Century Gothic" w:cs="Times New Roman"/>
          <w:sz w:val="20"/>
          <w:szCs w:val="20"/>
        </w:rPr>
        <w:t>Documentario</w:t>
      </w:r>
      <w:r w:rsidRPr="000A636E">
        <w:rPr>
          <w:rFonts w:ascii="Century Gothic" w:hAnsi="Century Gothic" w:cs="Times New Roman"/>
          <w:sz w:val="20"/>
          <w:szCs w:val="20"/>
        </w:rPr>
        <w:t>.</w:t>
      </w:r>
    </w:p>
    <w:p w14:paraId="6BA46038" w14:textId="77777777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</w:p>
    <w:p w14:paraId="1C0C2E85" w14:textId="261D88D7" w:rsidR="00680BBF" w:rsidRDefault="00F71FC8" w:rsidP="00F71FC8">
      <w:pPr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7.5.- </w:t>
      </w:r>
      <w:r w:rsidR="0069462E">
        <w:rPr>
          <w:rFonts w:ascii="Century Gothic" w:hAnsi="Century Gothic" w:cs="Times New Roman"/>
          <w:sz w:val="20"/>
          <w:szCs w:val="20"/>
        </w:rPr>
        <w:t>Contabilidad MCA</w:t>
      </w:r>
      <w:r>
        <w:rPr>
          <w:rFonts w:ascii="Century Gothic" w:hAnsi="Century Gothic" w:cs="Times New Roman"/>
          <w:sz w:val="20"/>
          <w:szCs w:val="20"/>
        </w:rPr>
        <w:t xml:space="preserve"> procederá a ubicarse en el lugar físico de las existencias y comenzará con el inventario que será “Barrido”</w:t>
      </w:r>
      <w:r w:rsidR="0005330D">
        <w:rPr>
          <w:rFonts w:ascii="Century Gothic" w:hAnsi="Century Gothic" w:cs="Times New Roman"/>
          <w:sz w:val="20"/>
          <w:szCs w:val="20"/>
        </w:rPr>
        <w:t xml:space="preserve"> o “barrido y cruzado” según corresponda al plan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1A6166A1" w14:textId="4D203B80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 xml:space="preserve">7.6.- El proceso de anotación por parte de </w:t>
      </w:r>
      <w:r w:rsidR="0005330D">
        <w:rPr>
          <w:rFonts w:ascii="Century Gothic" w:hAnsi="Century Gothic" w:cs="Times New Roman"/>
          <w:sz w:val="20"/>
          <w:szCs w:val="20"/>
        </w:rPr>
        <w:t>Contabilidad FG</w:t>
      </w:r>
      <w:r w:rsidRPr="00F71FC8">
        <w:rPr>
          <w:rFonts w:ascii="Century Gothic" w:hAnsi="Century Gothic" w:cs="Times New Roman"/>
          <w:sz w:val="20"/>
          <w:szCs w:val="20"/>
        </w:rPr>
        <w:t xml:space="preserve"> deberá contener el código del ítem, la cantidad encontrada y el código de ubicación de ser el caso.</w:t>
      </w:r>
    </w:p>
    <w:p w14:paraId="25AAFED0" w14:textId="77777777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</w:p>
    <w:p w14:paraId="2BFE409D" w14:textId="616C5029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7.7.- U</w:t>
      </w:r>
      <w:r w:rsidRPr="00F71FC8">
        <w:rPr>
          <w:rFonts w:ascii="Century Gothic" w:hAnsi="Century Gothic" w:cs="Times New Roman"/>
          <w:sz w:val="20"/>
          <w:szCs w:val="20"/>
        </w:rPr>
        <w:t xml:space="preserve">na vez concluida la labor de conteo de los materiales </w:t>
      </w:r>
      <w:r w:rsidR="00215B4A">
        <w:rPr>
          <w:rFonts w:ascii="Century Gothic" w:hAnsi="Century Gothic" w:cs="Times New Roman"/>
          <w:sz w:val="20"/>
          <w:szCs w:val="20"/>
        </w:rPr>
        <w:t>Contabilidad FG</w:t>
      </w:r>
      <w:r w:rsidRPr="00F71FC8">
        <w:rPr>
          <w:rFonts w:ascii="Century Gothic" w:hAnsi="Century Gothic" w:cs="Times New Roman"/>
          <w:sz w:val="20"/>
          <w:szCs w:val="20"/>
        </w:rPr>
        <w:t xml:space="preserve"> suscribirá todas las hojas de trabajo procediendo a entregar el al GG y/o GF copia de dichos documentos.</w:t>
      </w:r>
    </w:p>
    <w:p w14:paraId="540192B6" w14:textId="77777777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</w:p>
    <w:p w14:paraId="5B663B7D" w14:textId="2EF83FAD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7.8.- </w:t>
      </w:r>
      <w:r w:rsidR="00215B4A">
        <w:rPr>
          <w:rFonts w:ascii="Century Gothic" w:hAnsi="Century Gothic" w:cs="Times New Roman"/>
          <w:sz w:val="20"/>
          <w:szCs w:val="20"/>
        </w:rPr>
        <w:t xml:space="preserve">Contabilidad </w:t>
      </w:r>
      <w:r w:rsidRPr="00F71FC8">
        <w:rPr>
          <w:rFonts w:ascii="Century Gothic" w:hAnsi="Century Gothic" w:cs="Times New Roman"/>
          <w:sz w:val="20"/>
          <w:szCs w:val="20"/>
        </w:rPr>
        <w:t>procederá al traslado de los datos contenidos en las hojas de trabajo al listado de control de inventario en original y copia siguiendo el procedimiento que se detalla</w:t>
      </w:r>
      <w:r>
        <w:rPr>
          <w:rFonts w:ascii="Century Gothic" w:hAnsi="Century Gothic" w:cs="Times New Roman"/>
          <w:sz w:val="20"/>
          <w:szCs w:val="20"/>
        </w:rPr>
        <w:t>:</w:t>
      </w:r>
    </w:p>
    <w:p w14:paraId="7C050F69" w14:textId="77777777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</w:p>
    <w:p w14:paraId="692D29A6" w14:textId="77777777" w:rsidR="00F71FC8" w:rsidRDefault="00F71FC8" w:rsidP="00F71FC8">
      <w:pPr>
        <w:autoSpaceDE w:val="0"/>
        <w:autoSpaceDN w:val="0"/>
        <w:adjustRightInd w:val="0"/>
        <w:spacing w:after="0" w:line="240" w:lineRule="auto"/>
        <w:ind w:left="1416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7.8.1.- </w:t>
      </w:r>
      <w:r w:rsidRPr="00F71FC8">
        <w:rPr>
          <w:rFonts w:ascii="Century Gothic" w:hAnsi="Century Gothic" w:cs="Times New Roman"/>
          <w:sz w:val="20"/>
          <w:szCs w:val="20"/>
        </w:rPr>
        <w:t>Se verificará la cantidad inventariada en hojas de trabajo con el saldo que figura en el listado final. En caso de diferencias, se volverá a realizar la revisión física.</w:t>
      </w:r>
    </w:p>
    <w:p w14:paraId="468329E0" w14:textId="77777777" w:rsidR="000B605F" w:rsidRDefault="000B605F" w:rsidP="00F71FC8">
      <w:pPr>
        <w:autoSpaceDE w:val="0"/>
        <w:autoSpaceDN w:val="0"/>
        <w:adjustRightInd w:val="0"/>
        <w:spacing w:after="0" w:line="240" w:lineRule="auto"/>
        <w:ind w:left="1416"/>
        <w:rPr>
          <w:rFonts w:ascii="Century Gothic" w:hAnsi="Century Gothic" w:cs="Times New Roman"/>
          <w:sz w:val="20"/>
          <w:szCs w:val="20"/>
        </w:rPr>
      </w:pPr>
    </w:p>
    <w:p w14:paraId="19C5DEF0" w14:textId="423BFDBE" w:rsidR="00F71FC8" w:rsidRDefault="000B605F" w:rsidP="00C90CA5">
      <w:pPr>
        <w:autoSpaceDE w:val="0"/>
        <w:autoSpaceDN w:val="0"/>
        <w:adjustRightInd w:val="0"/>
        <w:spacing w:after="0" w:line="240" w:lineRule="auto"/>
        <w:ind w:left="1416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7.8.</w:t>
      </w:r>
      <w:r>
        <w:rPr>
          <w:rFonts w:ascii="Century Gothic" w:hAnsi="Century Gothic" w:cs="Times New Roman"/>
          <w:sz w:val="20"/>
          <w:szCs w:val="20"/>
        </w:rPr>
        <w:t>2</w:t>
      </w:r>
      <w:r>
        <w:rPr>
          <w:rFonts w:ascii="Century Gothic" w:hAnsi="Century Gothic" w:cs="Times New Roman"/>
          <w:sz w:val="20"/>
          <w:szCs w:val="20"/>
        </w:rPr>
        <w:t>.-</w:t>
      </w:r>
      <w:r>
        <w:rPr>
          <w:rFonts w:ascii="Century Gothic" w:hAnsi="Century Gothic" w:cs="Times New Roman"/>
          <w:sz w:val="20"/>
          <w:szCs w:val="20"/>
        </w:rPr>
        <w:t xml:space="preserve"> El Reconteo determinará el origen de la diferencia y será acordado entre las partes quienes firmen</w:t>
      </w:r>
      <w:r w:rsidR="00C90CA5">
        <w:rPr>
          <w:rFonts w:ascii="Century Gothic" w:hAnsi="Century Gothic" w:cs="Times New Roman"/>
          <w:sz w:val="20"/>
          <w:szCs w:val="20"/>
        </w:rPr>
        <w:t>.</w:t>
      </w:r>
    </w:p>
    <w:p w14:paraId="27EC2E38" w14:textId="77777777" w:rsidR="00C90CA5" w:rsidRDefault="00C90CA5" w:rsidP="00C90CA5">
      <w:pPr>
        <w:autoSpaceDE w:val="0"/>
        <w:autoSpaceDN w:val="0"/>
        <w:adjustRightInd w:val="0"/>
        <w:spacing w:after="0" w:line="240" w:lineRule="auto"/>
        <w:ind w:left="1416"/>
        <w:rPr>
          <w:rFonts w:ascii="Century Gothic" w:hAnsi="Century Gothic" w:cs="Times New Roman"/>
          <w:sz w:val="20"/>
          <w:szCs w:val="20"/>
        </w:rPr>
      </w:pPr>
    </w:p>
    <w:p w14:paraId="57064AD1" w14:textId="3D508BC1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7.9.- </w:t>
      </w:r>
      <w:r w:rsidR="00C90CA5">
        <w:rPr>
          <w:rFonts w:ascii="Century Gothic" w:hAnsi="Century Gothic" w:cs="Times New Roman"/>
          <w:sz w:val="20"/>
          <w:szCs w:val="20"/>
        </w:rPr>
        <w:t>Contabilidad FG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F71FC8">
        <w:rPr>
          <w:rFonts w:ascii="Century Gothic" w:hAnsi="Century Gothic" w:cs="Times New Roman"/>
          <w:sz w:val="20"/>
          <w:szCs w:val="20"/>
        </w:rPr>
        <w:t xml:space="preserve">procederá </w:t>
      </w:r>
      <w:r>
        <w:rPr>
          <w:rFonts w:ascii="Century Gothic" w:hAnsi="Century Gothic" w:cs="Times New Roman"/>
          <w:sz w:val="20"/>
          <w:szCs w:val="20"/>
        </w:rPr>
        <w:t>al archivo digital de todos los respaldos, los cuales serán entregados en copia a las gerencias de la empresa inventariada.</w:t>
      </w:r>
    </w:p>
    <w:p w14:paraId="27712585" w14:textId="77777777" w:rsidR="00F71FC8" w:rsidRDefault="00F71FC8" w:rsidP="00F71FC8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</w:p>
    <w:p w14:paraId="6B2F2F1A" w14:textId="77777777" w:rsidR="00F71FC8" w:rsidRDefault="00F71FC8" w:rsidP="00591D2F">
      <w:pPr>
        <w:jc w:val="both"/>
        <w:rPr>
          <w:rFonts w:ascii="Century Gothic" w:hAnsi="Century Gothic" w:cs="Times New Roman"/>
          <w:b/>
          <w:sz w:val="20"/>
          <w:szCs w:val="20"/>
          <w:lang w:val="es-CO"/>
        </w:rPr>
      </w:pPr>
    </w:p>
    <w:p w14:paraId="0C2EF0B5" w14:textId="77777777" w:rsidR="00F71FC8" w:rsidRDefault="00F71FC8" w:rsidP="00F71FC8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lang w:val="es-CO"/>
        </w:rPr>
        <w:tab/>
        <w:t xml:space="preserve"> </w:t>
      </w:r>
    </w:p>
    <w:p w14:paraId="7FD517C2" w14:textId="77777777" w:rsidR="00F71FC8" w:rsidRPr="000A636E" w:rsidRDefault="00F71FC8" w:rsidP="00F71FC8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0A636E">
        <w:rPr>
          <w:rFonts w:ascii="Century Gothic" w:hAnsi="Century Gothic" w:cs="Times New Roman"/>
          <w:color w:val="8496B0" w:themeColor="text2" w:themeTint="99"/>
        </w:rPr>
        <w:t xml:space="preserve">Procedimiento: </w:t>
      </w:r>
      <w:r>
        <w:rPr>
          <w:rFonts w:ascii="Century Gothic" w:hAnsi="Century Gothic" w:cs="Times New Roman"/>
          <w:color w:val="8496B0" w:themeColor="text2" w:themeTint="99"/>
        </w:rPr>
        <w:t>Resultados.</w:t>
      </w:r>
    </w:p>
    <w:p w14:paraId="2CFD5CAC" w14:textId="77777777" w:rsidR="00F71FC8" w:rsidRPr="002869F9" w:rsidRDefault="00F71FC8" w:rsidP="00F71FC8">
      <w:pPr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2D4E51" wp14:editId="7122759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75255" id="Conector recto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0ED8FB3E" w14:textId="5601F6C2" w:rsidR="00B60A10" w:rsidRDefault="00B60A10" w:rsidP="00B60A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8.1.- </w:t>
      </w:r>
      <w:r w:rsidR="00C90CA5">
        <w:rPr>
          <w:rFonts w:ascii="Century Gothic" w:hAnsi="Century Gothic" w:cs="Times New Roman"/>
          <w:sz w:val="20"/>
          <w:szCs w:val="20"/>
        </w:rPr>
        <w:t>Contabilidad</w:t>
      </w:r>
      <w:r>
        <w:rPr>
          <w:rFonts w:ascii="Century Gothic" w:hAnsi="Century Gothic" w:cs="Times New Roman"/>
          <w:sz w:val="20"/>
          <w:szCs w:val="20"/>
        </w:rPr>
        <w:t xml:space="preserve"> FG analizará los siguientes tópicos:</w:t>
      </w:r>
    </w:p>
    <w:p w14:paraId="352B3B50" w14:textId="77777777" w:rsidR="00B60A10" w:rsidRDefault="00B60A10" w:rsidP="00B60A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68F31F8" w14:textId="77777777" w:rsidR="00F71FC8" w:rsidRPr="00B60A10" w:rsidRDefault="00B60A10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8.1.1.- </w:t>
      </w:r>
      <w:r w:rsidR="00F71FC8" w:rsidRPr="00B60A10">
        <w:rPr>
          <w:rFonts w:ascii="Century Gothic" w:hAnsi="Century Gothic" w:cs="Times New Roman"/>
          <w:b/>
          <w:sz w:val="20"/>
          <w:szCs w:val="20"/>
        </w:rPr>
        <w:t xml:space="preserve">Sobrantes de </w:t>
      </w:r>
      <w:r w:rsidRPr="00B60A10">
        <w:rPr>
          <w:rFonts w:ascii="Century Gothic" w:hAnsi="Century Gothic" w:cs="Times New Roman"/>
          <w:b/>
          <w:sz w:val="20"/>
          <w:szCs w:val="20"/>
        </w:rPr>
        <w:t>Inventario. -</w:t>
      </w:r>
    </w:p>
    <w:p w14:paraId="4E7CE2FD" w14:textId="77777777" w:rsidR="00B60A10" w:rsidRDefault="00F71FC8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Determinar su origen, principalm</w:t>
      </w:r>
      <w:r w:rsidR="00B60A10">
        <w:rPr>
          <w:rFonts w:ascii="Century Gothic" w:hAnsi="Century Gothic" w:cs="Times New Roman"/>
          <w:sz w:val="20"/>
          <w:szCs w:val="20"/>
        </w:rPr>
        <w:t xml:space="preserve">ente por las siguientes causas </w:t>
      </w:r>
    </w:p>
    <w:p w14:paraId="281CF355" w14:textId="77777777" w:rsidR="00B60A10" w:rsidRDefault="00B60A10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</w:p>
    <w:p w14:paraId="79AFBB2C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 xml:space="preserve">a) Documento fuente no registrados en el </w:t>
      </w:r>
      <w:proofErr w:type="spellStart"/>
      <w:r w:rsidRPr="00F71FC8">
        <w:rPr>
          <w:rFonts w:ascii="Century Gothic" w:hAnsi="Century Gothic" w:cs="Times New Roman"/>
          <w:sz w:val="20"/>
          <w:szCs w:val="20"/>
        </w:rPr>
        <w:t>kardex</w:t>
      </w:r>
      <w:proofErr w:type="spellEnd"/>
      <w:r w:rsidRPr="00F71FC8">
        <w:rPr>
          <w:rFonts w:ascii="Century Gothic" w:hAnsi="Century Gothic" w:cs="Times New Roman"/>
          <w:sz w:val="20"/>
          <w:szCs w:val="20"/>
        </w:rPr>
        <w:t xml:space="preserve"> físico.</w:t>
      </w:r>
    </w:p>
    <w:p w14:paraId="65AC8922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b) Bienes entregados en menor cantidad a la autorizada en el respectivo</w:t>
      </w:r>
    </w:p>
    <w:p w14:paraId="2715CAD3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comprobante de salida.</w:t>
      </w:r>
    </w:p>
    <w:p w14:paraId="0A12C298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c) Entrega de un bien similar en lugar del que figura como sobrante.</w:t>
      </w:r>
    </w:p>
    <w:p w14:paraId="0CBFEEB4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</w:p>
    <w:p w14:paraId="3A352CAF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Cuando los sobrantes tengan su origen en la entrega de un bien similar en</w:t>
      </w:r>
    </w:p>
    <w:p w14:paraId="24FFFF61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lugar del sobrante, implica que la misma cantidad del bien sobrante debe</w:t>
      </w:r>
    </w:p>
    <w:p w14:paraId="0BF502DC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figurar como faltante en bien similar entregado. En este caso se procederá a</w:t>
      </w:r>
    </w:p>
    <w:p w14:paraId="517B647F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realizar el ajuste correspondiente el mismo que será verificado por el jefe de</w:t>
      </w:r>
    </w:p>
    <w:p w14:paraId="05CB4D48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inventario.</w:t>
      </w:r>
    </w:p>
    <w:p w14:paraId="63608145" w14:textId="77777777" w:rsidR="00B60A10" w:rsidRDefault="00B60A10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</w:p>
    <w:p w14:paraId="084C242A" w14:textId="77777777" w:rsidR="00B60A10" w:rsidRDefault="00B60A10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</w:p>
    <w:p w14:paraId="6C14088A" w14:textId="77777777" w:rsidR="00F71FC8" w:rsidRDefault="00B60A10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b/>
          <w:sz w:val="20"/>
          <w:szCs w:val="20"/>
        </w:rPr>
      </w:pPr>
      <w:r w:rsidRPr="00B60A10">
        <w:rPr>
          <w:rFonts w:ascii="Century Gothic" w:hAnsi="Century Gothic" w:cs="Times New Roman"/>
          <w:b/>
          <w:sz w:val="20"/>
          <w:szCs w:val="20"/>
        </w:rPr>
        <w:t xml:space="preserve">8.1.2 </w:t>
      </w:r>
      <w:r w:rsidR="00F71FC8" w:rsidRPr="00B60A10">
        <w:rPr>
          <w:rFonts w:ascii="Century Gothic" w:hAnsi="Century Gothic" w:cs="Times New Roman"/>
          <w:b/>
          <w:sz w:val="20"/>
          <w:szCs w:val="20"/>
        </w:rPr>
        <w:t xml:space="preserve">Faltantes de </w:t>
      </w:r>
      <w:r w:rsidRPr="00B60A10">
        <w:rPr>
          <w:rFonts w:ascii="Century Gothic" w:hAnsi="Century Gothic" w:cs="Times New Roman"/>
          <w:b/>
          <w:sz w:val="20"/>
          <w:szCs w:val="20"/>
        </w:rPr>
        <w:t>inventario. -</w:t>
      </w:r>
    </w:p>
    <w:p w14:paraId="5798998E" w14:textId="77777777" w:rsidR="00B60A10" w:rsidRPr="00B60A10" w:rsidRDefault="00B60A10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1447CD82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 xml:space="preserve">En este caso se determinará lo </w:t>
      </w:r>
      <w:r w:rsidR="00B60A10" w:rsidRPr="00F71FC8">
        <w:rPr>
          <w:rFonts w:ascii="Century Gothic" w:hAnsi="Century Gothic" w:cs="Times New Roman"/>
          <w:sz w:val="20"/>
          <w:szCs w:val="20"/>
        </w:rPr>
        <w:t>siguiente:</w:t>
      </w:r>
    </w:p>
    <w:p w14:paraId="21A39D70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a) Faltantes por me</w:t>
      </w:r>
      <w:r w:rsidR="00B60A10">
        <w:rPr>
          <w:rFonts w:ascii="Century Gothic" w:hAnsi="Century Gothic" w:cs="Times New Roman"/>
          <w:sz w:val="20"/>
          <w:szCs w:val="20"/>
        </w:rPr>
        <w:t>rma</w:t>
      </w:r>
      <w:r w:rsidRPr="00F71FC8">
        <w:rPr>
          <w:rFonts w:ascii="Century Gothic" w:hAnsi="Century Gothic" w:cs="Times New Roman"/>
          <w:sz w:val="20"/>
          <w:szCs w:val="20"/>
        </w:rPr>
        <w:t>: Tratándose de bienes sólidos o líquidos que por su</w:t>
      </w:r>
    </w:p>
    <w:p w14:paraId="1CDBA7C8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naturaleza se volatilizan, será aceptada siempre y cuando esté dentro de la</w:t>
      </w:r>
    </w:p>
    <w:p w14:paraId="31C0722F" w14:textId="77777777" w:rsid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tolerancia establecida.</w:t>
      </w:r>
    </w:p>
    <w:p w14:paraId="3EE93656" w14:textId="77777777" w:rsidR="00B60A10" w:rsidRPr="00F71FC8" w:rsidRDefault="00B60A10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</w:p>
    <w:p w14:paraId="13D6631A" w14:textId="77777777" w:rsid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 xml:space="preserve">b) Faltantes por negligencia o </w:t>
      </w:r>
      <w:r w:rsidR="00B60A10" w:rsidRPr="00F71FC8">
        <w:rPr>
          <w:rFonts w:ascii="Century Gothic" w:hAnsi="Century Gothic" w:cs="Times New Roman"/>
          <w:sz w:val="20"/>
          <w:szCs w:val="20"/>
        </w:rPr>
        <w:t>sustracción:</w:t>
      </w:r>
      <w:r w:rsidRPr="00F71FC8">
        <w:rPr>
          <w:rFonts w:ascii="Century Gothic" w:hAnsi="Century Gothic" w:cs="Times New Roman"/>
          <w:sz w:val="20"/>
          <w:szCs w:val="20"/>
        </w:rPr>
        <w:t xml:space="preserve"> </w:t>
      </w:r>
      <w:r w:rsidR="00B60A10">
        <w:rPr>
          <w:rFonts w:ascii="Century Gothic" w:hAnsi="Century Gothic" w:cs="Times New Roman"/>
          <w:sz w:val="20"/>
          <w:szCs w:val="20"/>
        </w:rPr>
        <w:t>Se presentarán los antecedentes al Contralor del Grupo FG.</w:t>
      </w:r>
    </w:p>
    <w:p w14:paraId="22A49877" w14:textId="77777777" w:rsidR="00B60A10" w:rsidRPr="00F71FC8" w:rsidRDefault="00B60A10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</w:p>
    <w:p w14:paraId="1F79D3AA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 xml:space="preserve">c) Faltantes por volumen de </w:t>
      </w:r>
      <w:r w:rsidR="00B60A10" w:rsidRPr="00F71FC8">
        <w:rPr>
          <w:rFonts w:ascii="Century Gothic" w:hAnsi="Century Gothic" w:cs="Times New Roman"/>
          <w:sz w:val="20"/>
          <w:szCs w:val="20"/>
        </w:rPr>
        <w:t>movimiento:</w:t>
      </w:r>
      <w:r w:rsidRPr="00F71FC8">
        <w:rPr>
          <w:rFonts w:ascii="Century Gothic" w:hAnsi="Century Gothic" w:cs="Times New Roman"/>
          <w:sz w:val="20"/>
          <w:szCs w:val="20"/>
        </w:rPr>
        <w:t xml:space="preserve"> En estos casos se determinará los</w:t>
      </w:r>
    </w:p>
    <w:p w14:paraId="1FB9F0B5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que corresponden a instrumentos de medida y/o en cantidad dentro de</w:t>
      </w:r>
    </w:p>
    <w:p w14:paraId="3B542253" w14:textId="77777777" w:rsidR="00F71FC8" w:rsidRPr="00F71FC8" w:rsidRDefault="00F71FC8" w:rsidP="00B60A1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Century Gothic" w:hAnsi="Century Gothic" w:cs="Times New Roman"/>
          <w:sz w:val="20"/>
          <w:szCs w:val="20"/>
        </w:rPr>
      </w:pPr>
      <w:r w:rsidRPr="00F71FC8">
        <w:rPr>
          <w:rFonts w:ascii="Century Gothic" w:hAnsi="Century Gothic" w:cs="Times New Roman"/>
          <w:sz w:val="20"/>
          <w:szCs w:val="20"/>
        </w:rPr>
        <w:t>márgenes aceptables.</w:t>
      </w:r>
    </w:p>
    <w:p w14:paraId="25B5AA70" w14:textId="77777777" w:rsidR="00F71FC8" w:rsidRDefault="00F71FC8" w:rsidP="00591D2F">
      <w:pPr>
        <w:jc w:val="both"/>
        <w:rPr>
          <w:rFonts w:ascii="Century Gothic" w:hAnsi="Century Gothic" w:cs="Times New Roman"/>
          <w:b/>
          <w:sz w:val="20"/>
          <w:szCs w:val="20"/>
          <w:lang w:val="es-CO"/>
        </w:rPr>
      </w:pPr>
    </w:p>
    <w:p w14:paraId="45584DD3" w14:textId="77777777" w:rsidR="00F71FC8" w:rsidRPr="00097A86" w:rsidRDefault="00F71FC8" w:rsidP="00591D2F">
      <w:pPr>
        <w:jc w:val="both"/>
        <w:rPr>
          <w:rFonts w:ascii="Century Gothic" w:hAnsi="Century Gothic" w:cs="Times New Roman"/>
          <w:b/>
          <w:sz w:val="20"/>
          <w:szCs w:val="20"/>
          <w:lang w:val="es-CO"/>
        </w:rPr>
      </w:pPr>
    </w:p>
    <w:p w14:paraId="67AE67E6" w14:textId="40C84756" w:rsidR="00B60A10" w:rsidRDefault="00B60A10" w:rsidP="00B60A1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8.2.- </w:t>
      </w:r>
      <w:r w:rsidR="00C90CA5">
        <w:rPr>
          <w:rFonts w:ascii="Century Gothic" w:hAnsi="Century Gothic" w:cs="Times New Roman"/>
          <w:sz w:val="20"/>
          <w:szCs w:val="20"/>
        </w:rPr>
        <w:t>Contabilidad</w:t>
      </w:r>
      <w:r>
        <w:rPr>
          <w:rFonts w:ascii="Century Gothic" w:hAnsi="Century Gothic" w:cs="Times New Roman"/>
          <w:sz w:val="20"/>
          <w:szCs w:val="20"/>
        </w:rPr>
        <w:t xml:space="preserve"> FG realizará un informe final del inventario el cual será entregado a la Gerencia </w:t>
      </w:r>
      <w:r w:rsidR="00C90CA5">
        <w:rPr>
          <w:rFonts w:ascii="Century Gothic" w:hAnsi="Century Gothic" w:cs="Times New Roman"/>
          <w:sz w:val="20"/>
          <w:szCs w:val="20"/>
        </w:rPr>
        <w:t xml:space="preserve">de Administración y </w:t>
      </w:r>
      <w:proofErr w:type="gramStart"/>
      <w:r w:rsidR="00C90CA5">
        <w:rPr>
          <w:rFonts w:ascii="Century Gothic" w:hAnsi="Century Gothic" w:cs="Times New Roman"/>
          <w:sz w:val="20"/>
          <w:szCs w:val="20"/>
        </w:rPr>
        <w:t xml:space="preserve">Gerencia </w:t>
      </w:r>
      <w:r>
        <w:rPr>
          <w:rFonts w:ascii="Century Gothic" w:hAnsi="Century Gothic" w:cs="Times New Roman"/>
          <w:sz w:val="20"/>
          <w:szCs w:val="20"/>
        </w:rPr>
        <w:t xml:space="preserve"> de</w:t>
      </w:r>
      <w:proofErr w:type="gramEnd"/>
      <w:r>
        <w:rPr>
          <w:rFonts w:ascii="Century Gothic" w:hAnsi="Century Gothic" w:cs="Times New Roman"/>
          <w:sz w:val="20"/>
          <w:szCs w:val="20"/>
        </w:rPr>
        <w:t xml:space="preserve"> la empresa inventariada</w:t>
      </w:r>
      <w:r w:rsidR="00C90CA5">
        <w:rPr>
          <w:rFonts w:ascii="Century Gothic" w:hAnsi="Century Gothic" w:cs="Times New Roman"/>
          <w:sz w:val="20"/>
          <w:szCs w:val="20"/>
        </w:rPr>
        <w:t>, según ejemplo adjunto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34939F89" w14:textId="27B60DF5" w:rsidR="00936261" w:rsidRDefault="00F66722" w:rsidP="00F66722">
      <w:pPr>
        <w:jc w:val="both"/>
        <w:rPr>
          <w:rFonts w:ascii="Century Gothic" w:hAnsi="Century Gothic" w:cs="Times New Roman"/>
          <w:b/>
          <w:sz w:val="20"/>
          <w:szCs w:val="20"/>
          <w:lang w:val="es-CO"/>
        </w:rPr>
      </w:pPr>
      <w:r>
        <w:rPr>
          <w:rFonts w:ascii="Century Gothic" w:hAnsi="Century Gothic" w:cs="Times New Roman"/>
          <w:color w:val="1F4E79" w:themeColor="accent1" w:themeShade="80"/>
          <w:sz w:val="24"/>
          <w:szCs w:val="24"/>
        </w:rPr>
        <w:object w:dxaOrig="1311" w:dyaOrig="849" w14:anchorId="5FC86EAF">
          <v:shape id="_x0000_i1046" type="#_x0000_t75" style="width:65.55pt;height:42.45pt" o:ole="">
            <v:imagedata r:id="rId17" o:title=""/>
          </v:shape>
          <o:OLEObject Type="Embed" ProgID="Excel.Sheet.12" ShapeID="_x0000_i1046" DrawAspect="Icon" ObjectID="_1762596736" r:id="rId18"/>
        </w:object>
      </w:r>
    </w:p>
    <w:p w14:paraId="1E5C0AC3" w14:textId="77777777" w:rsidR="00936261" w:rsidRDefault="00936261" w:rsidP="0093626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  <w:lang w:val="es-CO"/>
        </w:rPr>
        <w:tab/>
        <w:t xml:space="preserve"> </w:t>
      </w:r>
    </w:p>
    <w:p w14:paraId="4C1592F6" w14:textId="6E4E606D" w:rsidR="00936261" w:rsidRPr="000A636E" w:rsidRDefault="00936261" w:rsidP="00936261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>
        <w:rPr>
          <w:rFonts w:ascii="Century Gothic" w:hAnsi="Century Gothic" w:cs="Times New Roman"/>
          <w:color w:val="8496B0" w:themeColor="text2" w:themeTint="99"/>
        </w:rPr>
        <w:t>Descripción proceso toma de inventario</w:t>
      </w:r>
    </w:p>
    <w:p w14:paraId="72B3C314" w14:textId="77777777" w:rsidR="00936261" w:rsidRPr="002869F9" w:rsidRDefault="00936261" w:rsidP="00936261">
      <w:pPr>
        <w:ind w:left="360"/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FBCB1" wp14:editId="0F06B7D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308739872" name="Conector recto 308739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194C2" id="Conector recto 30873987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64AFB1C1" w14:textId="5B174665" w:rsidR="00232936" w:rsidRDefault="006F2CF7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D45BBC">
        <w:rPr>
          <w:rFonts w:ascii="Century Gothic" w:hAnsi="Century Gothic" w:cs="Arial"/>
          <w:sz w:val="20"/>
          <w:szCs w:val="20"/>
        </w:rPr>
        <w:t xml:space="preserve">.1.- </w:t>
      </w:r>
      <w:r w:rsidR="00C90CA5">
        <w:rPr>
          <w:rFonts w:ascii="Century Gothic" w:hAnsi="Century Gothic" w:cs="Arial"/>
          <w:sz w:val="20"/>
          <w:szCs w:val="20"/>
        </w:rPr>
        <w:t xml:space="preserve">para acceder a la información </w:t>
      </w:r>
      <w:r w:rsidR="00F63D73">
        <w:rPr>
          <w:rFonts w:ascii="Century Gothic" w:hAnsi="Century Gothic" w:cs="Arial"/>
          <w:sz w:val="20"/>
          <w:szCs w:val="20"/>
        </w:rPr>
        <w:t>se debe acceder a “</w:t>
      </w:r>
      <w:r w:rsidR="00232936">
        <w:rPr>
          <w:rFonts w:ascii="Century Gothic" w:hAnsi="Century Gothic" w:cs="Arial"/>
          <w:sz w:val="20"/>
          <w:szCs w:val="20"/>
        </w:rPr>
        <w:t>FG Reporte valor del inventario</w:t>
      </w:r>
      <w:r w:rsidR="00F63D73">
        <w:rPr>
          <w:rFonts w:ascii="Century Gothic" w:hAnsi="Century Gothic" w:cs="Arial"/>
          <w:sz w:val="20"/>
          <w:szCs w:val="20"/>
        </w:rPr>
        <w:t>”</w:t>
      </w:r>
      <w:r w:rsidR="00232936">
        <w:rPr>
          <w:rFonts w:ascii="Century Gothic" w:hAnsi="Century Gothic" w:cs="Arial"/>
          <w:sz w:val="20"/>
          <w:szCs w:val="20"/>
        </w:rPr>
        <w:t xml:space="preserve"> y se obtiene en la siguiente ruta:</w:t>
      </w:r>
    </w:p>
    <w:p w14:paraId="26819BB1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553E92E4" w14:textId="0C5471B7" w:rsidR="00D45BBC" w:rsidRDefault="00850F0B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79A35D94" wp14:editId="42F6ACEA">
            <wp:extent cx="5612130" cy="608965"/>
            <wp:effectExtent l="0" t="0" r="7620" b="635"/>
            <wp:docPr id="184956187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9880" w14:textId="77777777" w:rsidR="0061347D" w:rsidRDefault="0061347D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1E13DFA" w14:textId="06C8D58F" w:rsidR="001B16CB" w:rsidRDefault="006F2CF7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</w:t>
      </w:r>
      <w:r w:rsidR="002A4F86">
        <w:rPr>
          <w:rFonts w:ascii="Century Gothic" w:hAnsi="Century Gothic" w:cs="Arial"/>
          <w:sz w:val="20"/>
          <w:szCs w:val="20"/>
        </w:rPr>
        <w:t xml:space="preserve">.2.- </w:t>
      </w:r>
      <w:r w:rsidR="00D9432F">
        <w:rPr>
          <w:rFonts w:ascii="Century Gothic" w:hAnsi="Century Gothic" w:cs="Arial"/>
          <w:sz w:val="20"/>
          <w:szCs w:val="20"/>
        </w:rPr>
        <w:t xml:space="preserve">El ID del reporte </w:t>
      </w:r>
      <w:r w:rsidR="00E26F7F">
        <w:rPr>
          <w:rFonts w:ascii="Century Gothic" w:hAnsi="Century Gothic" w:cs="Arial"/>
          <w:sz w:val="20"/>
          <w:szCs w:val="20"/>
        </w:rPr>
        <w:t>a elegir</w:t>
      </w:r>
      <w:r w:rsidR="00D9432F">
        <w:rPr>
          <w:rFonts w:ascii="Century Gothic" w:hAnsi="Century Gothic" w:cs="Arial"/>
          <w:sz w:val="20"/>
          <w:szCs w:val="20"/>
        </w:rPr>
        <w:t xml:space="preserve"> el número 01</w:t>
      </w:r>
      <w:r w:rsidR="00991239">
        <w:rPr>
          <w:rFonts w:ascii="Century Gothic" w:hAnsi="Century Gothic" w:cs="Arial"/>
          <w:sz w:val="20"/>
          <w:szCs w:val="20"/>
        </w:rPr>
        <w:t>, adem</w:t>
      </w:r>
      <w:r w:rsidR="00350B6D">
        <w:rPr>
          <w:rFonts w:ascii="Century Gothic" w:hAnsi="Century Gothic" w:cs="Arial"/>
          <w:sz w:val="20"/>
          <w:szCs w:val="20"/>
        </w:rPr>
        <w:t xml:space="preserve">ás de seleccionar las fechas a consultar, </w:t>
      </w:r>
      <w:r w:rsidR="0041250E">
        <w:rPr>
          <w:rFonts w:ascii="Century Gothic" w:hAnsi="Century Gothic" w:cs="Arial"/>
          <w:sz w:val="20"/>
          <w:szCs w:val="20"/>
        </w:rPr>
        <w:t xml:space="preserve">además de marcar </w:t>
      </w:r>
      <w:r w:rsidR="005943E8">
        <w:rPr>
          <w:rFonts w:ascii="Century Gothic" w:hAnsi="Century Gothic" w:cs="Arial"/>
          <w:sz w:val="20"/>
          <w:szCs w:val="20"/>
        </w:rPr>
        <w:t>incluir ceros en “no”.</w:t>
      </w:r>
    </w:p>
    <w:p w14:paraId="158CB728" w14:textId="77777777" w:rsidR="005943E8" w:rsidRDefault="005943E8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8F313CD" w14:textId="7D38B909" w:rsidR="001B16CB" w:rsidRDefault="00D9432F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1F6974C8" wp14:editId="26728881">
            <wp:extent cx="2404132" cy="1064753"/>
            <wp:effectExtent l="0" t="0" r="0" b="2540"/>
            <wp:docPr id="20072053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03" cy="10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66F1" w14:textId="77777777" w:rsidR="000E4A3C" w:rsidRDefault="000E4A3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72BCB0A4" w14:textId="48850D38" w:rsidR="000E4A3C" w:rsidRDefault="000E4A3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9.3.- El sistema permite extraer la información de todas las obras o bien, permite la selección específica</w:t>
      </w:r>
      <w:r w:rsidR="00E91B60">
        <w:rPr>
          <w:rFonts w:ascii="Century Gothic" w:hAnsi="Century Gothic" w:cs="Arial"/>
          <w:sz w:val="20"/>
          <w:szCs w:val="20"/>
        </w:rPr>
        <w:t xml:space="preserve"> de una bodega, para ello se debe ingresar en el botón filtrar</w:t>
      </w:r>
      <w:r w:rsidR="005E13A8">
        <w:rPr>
          <w:rFonts w:ascii="Century Gothic" w:hAnsi="Century Gothic" w:cs="Arial"/>
          <w:sz w:val="20"/>
          <w:szCs w:val="20"/>
        </w:rPr>
        <w:t xml:space="preserve"> y seleccionar.</w:t>
      </w:r>
    </w:p>
    <w:p w14:paraId="4F2654E4" w14:textId="77777777" w:rsidR="0041250E" w:rsidRDefault="0041250E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9E790C0" w14:textId="63A8CB79" w:rsidR="0041250E" w:rsidRDefault="0041250E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lastRenderedPageBreak/>
        <w:drawing>
          <wp:inline distT="0" distB="0" distL="0" distR="0" wp14:anchorId="5D92C3DC" wp14:editId="6270C622">
            <wp:extent cx="2210177" cy="1760542"/>
            <wp:effectExtent l="0" t="0" r="0" b="0"/>
            <wp:docPr id="179554552" name="Imagen 9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54552" name="Imagen 9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07" cy="17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AF1DE" w14:textId="77777777" w:rsidR="005E13A8" w:rsidRDefault="005E13A8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2D8C7EA3" w14:textId="2293ACA0" w:rsidR="005E13A8" w:rsidRDefault="005E13A8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4BC35C04" wp14:editId="1B2CD929">
            <wp:extent cx="5608955" cy="846455"/>
            <wp:effectExtent l="0" t="0" r="0" b="0"/>
            <wp:docPr id="84447284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0559A" w14:textId="291DA4B0" w:rsidR="00B92BDC" w:rsidRDefault="00B92BD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003D836C" w14:textId="53434441" w:rsidR="00850F0B" w:rsidRDefault="00367A2A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9.</w:t>
      </w:r>
      <w:r>
        <w:rPr>
          <w:rFonts w:ascii="Century Gothic" w:hAnsi="Century Gothic" w:cs="Arial"/>
          <w:sz w:val="20"/>
          <w:szCs w:val="20"/>
        </w:rPr>
        <w:t xml:space="preserve">4.- Se acepta y el sistema entregará </w:t>
      </w:r>
      <w:r w:rsidR="00FC5BF6">
        <w:rPr>
          <w:rFonts w:ascii="Century Gothic" w:hAnsi="Century Gothic" w:cs="Arial"/>
          <w:sz w:val="20"/>
          <w:szCs w:val="20"/>
        </w:rPr>
        <w:t>la información en Excel con las columnas necesarias para el proce</w:t>
      </w:r>
      <w:r w:rsidR="00E035C0">
        <w:rPr>
          <w:rFonts w:ascii="Century Gothic" w:hAnsi="Century Gothic" w:cs="Arial"/>
          <w:sz w:val="20"/>
          <w:szCs w:val="20"/>
        </w:rPr>
        <w:t>so de revisión física.</w:t>
      </w:r>
    </w:p>
    <w:p w14:paraId="167F9DEC" w14:textId="77777777" w:rsidR="00850F0B" w:rsidRDefault="00850F0B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5C962602" w14:textId="64006BD5" w:rsidR="00D45BBC" w:rsidRDefault="00FC5BF6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560AC1FB" wp14:editId="4DD79F20">
            <wp:extent cx="5608955" cy="825500"/>
            <wp:effectExtent l="0" t="0" r="0" b="0"/>
            <wp:docPr id="146415065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CEF8D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25777E67" w14:textId="2E27231C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49D20241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8AD5B58" w14:textId="00D61114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5.3.- Si se necesita determinar las entradas y salidas de un producto unitario, se puede revisar en la siguiente Ruta:  Gestión de Almacenes / Consultas e Informes / Lista Disponible. Esta herramienta no es un Kardex del proyecto por lo cual, </w:t>
      </w:r>
      <w:r w:rsidR="003751C4">
        <w:rPr>
          <w:rFonts w:ascii="Century Gothic" w:hAnsi="Century Gothic" w:cs="Arial"/>
          <w:sz w:val="20"/>
          <w:szCs w:val="20"/>
        </w:rPr>
        <w:tab/>
      </w:r>
      <w:r w:rsidR="003751C4">
        <w:rPr>
          <w:rFonts w:ascii="Century Gothic" w:hAnsi="Century Gothic" w:cs="Arial"/>
          <w:sz w:val="20"/>
          <w:szCs w:val="20"/>
        </w:rPr>
        <w:tab/>
      </w:r>
    </w:p>
    <w:p w14:paraId="4D960FBE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0E6BE86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5.4.- Corte Documental Salidas: Para efectuar la determinación del último vale de consumo ingresado se debe utilizar la aplicación ubicada en la siguiente Ruta: Gestión de proyectos y Contabilidad / Valor 0 de UF no es válido / Consumo de artículos requeridos.</w:t>
      </w:r>
    </w:p>
    <w:p w14:paraId="7F27CDA1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508871C" w14:textId="5C8DBA5D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5.5.- Corte Documental Ingresos: Se debe utilizar la aplicación “Todos los Pedidos de Compra”, la cual se encuentra en el </w:t>
      </w:r>
      <w:r w:rsidR="00AA6069">
        <w:rPr>
          <w:rFonts w:ascii="Century Gothic" w:hAnsi="Century Gothic" w:cs="Arial"/>
          <w:sz w:val="20"/>
          <w:szCs w:val="20"/>
        </w:rPr>
        <w:t>módulo</w:t>
      </w:r>
      <w:r>
        <w:rPr>
          <w:rFonts w:ascii="Century Gothic" w:hAnsi="Century Gothic" w:cs="Arial"/>
          <w:sz w:val="20"/>
          <w:szCs w:val="20"/>
        </w:rPr>
        <w:t xml:space="preserve"> de proveedores / pedidos de compra</w:t>
      </w:r>
      <w:r w:rsidR="00F718B0">
        <w:rPr>
          <w:rFonts w:ascii="Century Gothic" w:hAnsi="Century Gothic" w:cs="Arial"/>
          <w:sz w:val="20"/>
          <w:szCs w:val="20"/>
        </w:rPr>
        <w:t xml:space="preserve"> / todos los pedidos de compra</w:t>
      </w:r>
      <w:r>
        <w:rPr>
          <w:rFonts w:ascii="Century Gothic" w:hAnsi="Century Gothic" w:cs="Arial"/>
          <w:sz w:val="20"/>
          <w:szCs w:val="20"/>
        </w:rPr>
        <w:t>.</w:t>
      </w:r>
    </w:p>
    <w:p w14:paraId="23340D1F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EE830D6" w14:textId="67B1DF9E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lastRenderedPageBreak/>
        <w:drawing>
          <wp:inline distT="0" distB="0" distL="0" distR="0" wp14:anchorId="08A0DC2C" wp14:editId="32D9C6F1">
            <wp:extent cx="5610225" cy="800100"/>
            <wp:effectExtent l="0" t="0" r="9525" b="0"/>
            <wp:docPr id="21400273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3BA9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204BABE5" w14:textId="77777777" w:rsidR="00D45BBC" w:rsidRDefault="00D45BBC" w:rsidP="00D45BBC">
      <w:pPr>
        <w:spacing w:after="0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5.6.- Para determinar el proyecto de cada pedido de compra se debe utilizar la siguiente tabla:</w:t>
      </w:r>
    </w:p>
    <w:p w14:paraId="120E4071" w14:textId="77777777" w:rsidR="00D45BBC" w:rsidRDefault="00D45BBC" w:rsidP="00D45BBC">
      <w:pPr>
        <w:spacing w:after="0"/>
        <w:ind w:left="360"/>
        <w:jc w:val="both"/>
        <w:rPr>
          <w:rFonts w:ascii="Tahoma" w:hAnsi="Tahoma" w:cs="Tahoma"/>
          <w:sz w:val="16"/>
          <w:szCs w:val="16"/>
        </w:rPr>
      </w:pPr>
    </w:p>
    <w:tbl>
      <w:tblPr>
        <w:tblW w:w="2718" w:type="dxa"/>
        <w:tblInd w:w="561" w:type="dxa"/>
        <w:tblBorders>
          <w:top w:val="single" w:sz="24" w:space="0" w:color="D1D1D1"/>
          <w:left w:val="single" w:sz="24" w:space="0" w:color="D1D1D1"/>
          <w:bottom w:val="single" w:sz="24" w:space="0" w:color="D1D1D1"/>
          <w:right w:val="single" w:sz="24" w:space="0" w:color="D1D1D1"/>
        </w:tblBorders>
        <w:shd w:val="clear" w:color="auto" w:fill="FFFFFF"/>
        <w:tblLook w:val="04A0" w:firstRow="1" w:lastRow="0" w:firstColumn="1" w:lastColumn="0" w:noHBand="0" w:noVBand="1"/>
      </w:tblPr>
      <w:tblGrid>
        <w:gridCol w:w="842"/>
        <w:gridCol w:w="1876"/>
      </w:tblGrid>
      <w:tr w:rsidR="00D45BBC" w14:paraId="18BAD3CE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AF722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Almacén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7A326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Proyecto</w:t>
            </w:r>
          </w:p>
        </w:tc>
      </w:tr>
      <w:tr w:rsidR="00D45BBC" w14:paraId="5726AF41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C47FF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2EA63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Alonso de Ercilla</w:t>
            </w:r>
          </w:p>
        </w:tc>
      </w:tr>
      <w:tr w:rsidR="00D45BBC" w14:paraId="097EFDBC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41E9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32D55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Brisas Cerro Grande</w:t>
            </w:r>
          </w:p>
        </w:tc>
      </w:tr>
      <w:tr w:rsidR="00D45BBC" w14:paraId="0CC73C8C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8D655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6E33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proofErr w:type="spellStart"/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Helsinski</w:t>
            </w:r>
            <w:proofErr w:type="spellEnd"/>
          </w:p>
        </w:tc>
      </w:tr>
      <w:tr w:rsidR="00D45BBC" w14:paraId="21608A61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A8C2B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02822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proofErr w:type="spellStart"/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Sentrum</w:t>
            </w:r>
            <w:proofErr w:type="spellEnd"/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 xml:space="preserve"> Park</w:t>
            </w:r>
          </w:p>
        </w:tc>
      </w:tr>
      <w:tr w:rsidR="00D45BBC" w14:paraId="274C925B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95F8B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302BA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Huertos</w:t>
            </w:r>
          </w:p>
        </w:tc>
      </w:tr>
      <w:tr w:rsidR="00D45BBC" w14:paraId="327DE865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77F68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F8429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Santa Blanca</w:t>
            </w:r>
          </w:p>
        </w:tc>
      </w:tr>
      <w:tr w:rsidR="00D45BBC" w14:paraId="52169D4A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939D1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BD992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Oficina Central</w:t>
            </w:r>
          </w:p>
        </w:tc>
      </w:tr>
      <w:tr w:rsidR="00D45BBC" w14:paraId="01D4E74B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D0543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FABF6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proofErr w:type="spellStart"/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MyAF</w:t>
            </w:r>
            <w:proofErr w:type="spellEnd"/>
          </w:p>
        </w:tc>
      </w:tr>
      <w:tr w:rsidR="00D45BBC" w14:paraId="205557DF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9E370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Alonso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72C8F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Alonso de Ercilla</w:t>
            </w:r>
          </w:p>
        </w:tc>
      </w:tr>
      <w:tr w:rsidR="00D45BBC" w14:paraId="4E75BEC7" w14:textId="77777777" w:rsidTr="00D45BBC"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8CB79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Dalias</w:t>
            </w:r>
          </w:p>
        </w:tc>
        <w:tc>
          <w:tcPr>
            <w:tcW w:w="0" w:type="auto"/>
            <w:tcBorders>
              <w:top w:val="single" w:sz="24" w:space="0" w:color="D1D1D1"/>
              <w:left w:val="single" w:sz="24" w:space="0" w:color="D1D1D1"/>
              <w:bottom w:val="single" w:sz="24" w:space="0" w:color="D1D1D1"/>
              <w:right w:val="single" w:sz="24" w:space="0" w:color="D1D1D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2A30C" w14:textId="77777777" w:rsidR="00D45BBC" w:rsidRDefault="00D45BBC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</w:pPr>
            <w:r>
              <w:rPr>
                <w:rFonts w:ascii="Tahoma" w:eastAsia="Times New Roman" w:hAnsi="Tahoma" w:cs="Tahoma"/>
                <w:color w:val="242424"/>
                <w:sz w:val="16"/>
                <w:szCs w:val="16"/>
                <w:lang w:eastAsia="es-CL"/>
              </w:rPr>
              <w:t>Dalias</w:t>
            </w:r>
          </w:p>
        </w:tc>
      </w:tr>
    </w:tbl>
    <w:p w14:paraId="1624B3B5" w14:textId="77777777" w:rsidR="00D45BBC" w:rsidRDefault="00D45BBC" w:rsidP="00D45BBC">
      <w:pPr>
        <w:spacing w:after="0"/>
        <w:ind w:left="360"/>
        <w:jc w:val="both"/>
        <w:rPr>
          <w:rFonts w:ascii="Tahoma" w:hAnsi="Tahoma" w:cs="Tahoma"/>
          <w:sz w:val="16"/>
          <w:szCs w:val="16"/>
        </w:rPr>
      </w:pPr>
    </w:p>
    <w:p w14:paraId="190EF14F" w14:textId="77777777" w:rsidR="00D45BBC" w:rsidRDefault="00D45BBC" w:rsidP="00D45BBC">
      <w:pPr>
        <w:pStyle w:val="Prrafodelista"/>
        <w:rPr>
          <w:rFonts w:ascii="Century Gothic" w:hAnsi="Century Gothic" w:cs="Times New Roman"/>
          <w:color w:val="1F4E79" w:themeColor="accent1" w:themeShade="80"/>
          <w:sz w:val="24"/>
          <w:szCs w:val="24"/>
        </w:rPr>
      </w:pPr>
    </w:p>
    <w:p w14:paraId="6D4C3345" w14:textId="77777777" w:rsidR="00D45BBC" w:rsidRDefault="00D45BBC" w:rsidP="00D45BBC">
      <w:pPr>
        <w:pStyle w:val="Prrafodelista"/>
        <w:rPr>
          <w:rFonts w:ascii="Century Gothic" w:hAnsi="Century Gothic" w:cs="Times New Roman"/>
          <w:color w:val="1F4E79" w:themeColor="accent1" w:themeShade="80"/>
          <w:sz w:val="24"/>
          <w:szCs w:val="24"/>
        </w:rPr>
      </w:pPr>
    </w:p>
    <w:p w14:paraId="1154A991" w14:textId="77777777" w:rsidR="00D45BBC" w:rsidRDefault="00D45BBC" w:rsidP="00D45BBC">
      <w:pPr>
        <w:pStyle w:val="Prrafodelista"/>
        <w:rPr>
          <w:rFonts w:ascii="Century Gothic" w:hAnsi="Century Gothic" w:cs="Times New Roman"/>
          <w:color w:val="1F4E79" w:themeColor="accent1" w:themeShade="80"/>
          <w:sz w:val="24"/>
          <w:szCs w:val="24"/>
        </w:rPr>
      </w:pPr>
    </w:p>
    <w:sectPr w:rsidR="00D45BBC" w:rsidSect="00BE040B">
      <w:headerReference w:type="default" r:id="rId25"/>
      <w:footerReference w:type="default" r:id="rId26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7C1C" w14:textId="77777777" w:rsidR="000D2485" w:rsidRDefault="000D2485" w:rsidP="00BE040B">
      <w:pPr>
        <w:spacing w:after="0" w:line="240" w:lineRule="auto"/>
      </w:pPr>
      <w:r>
        <w:separator/>
      </w:r>
    </w:p>
  </w:endnote>
  <w:endnote w:type="continuationSeparator" w:id="0">
    <w:p w14:paraId="7DA5FDD9" w14:textId="77777777" w:rsidR="000D2485" w:rsidRDefault="000D2485" w:rsidP="00B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EndPr/>
    <w:sdtContent>
      <w:p w14:paraId="52F49BA2" w14:textId="77777777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0D037F6E" w14:textId="679445AE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5E360F7" wp14:editId="3F0BCFC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4820B9" w14:textId="77777777" w:rsidR="00881485" w:rsidRDefault="0088148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A2469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5E360F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4820B9" w14:textId="77777777" w:rsidR="00881485" w:rsidRDefault="0088148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A2469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2EDC49" wp14:editId="77C5B1E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31D00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" strokecolor="gray" strokeweight="1pt">
                  <w10:wrap anchorx="margin" anchory="margin"/>
                </v:shape>
              </w:pict>
            </mc:Fallback>
          </mc:AlternateContent>
        </w:r>
        <w:r w:rsidR="00181485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Proceso verificación de Existencias</w:t>
        </w:r>
      </w:p>
      <w:p w14:paraId="5A3C4FD0" w14:textId="195A6EA4" w:rsidR="00881485" w:rsidRPr="00C6429F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</w:t>
        </w:r>
        <w:r w:rsidR="00181485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Marcos normativos </w:t>
        </w:r>
        <w:r w:rsidR="00AC25B8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MCA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C290" w14:textId="77777777" w:rsidR="000D2485" w:rsidRDefault="000D2485" w:rsidP="00BE040B">
      <w:pPr>
        <w:spacing w:after="0" w:line="240" w:lineRule="auto"/>
      </w:pPr>
      <w:r>
        <w:separator/>
      </w:r>
    </w:p>
  </w:footnote>
  <w:footnote w:type="continuationSeparator" w:id="0">
    <w:p w14:paraId="3C61D5AF" w14:textId="77777777" w:rsidR="000D2485" w:rsidRDefault="000D2485" w:rsidP="00B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EC1F" w14:textId="77777777" w:rsidR="00881485" w:rsidRDefault="00881485" w:rsidP="00836CF8">
    <w:pPr>
      <w:pStyle w:val="Encabezado"/>
    </w:pPr>
  </w:p>
  <w:p w14:paraId="39AF2F56" w14:textId="77777777" w:rsidR="00881485" w:rsidRDefault="00881485" w:rsidP="00836CF8">
    <w:pPr>
      <w:pStyle w:val="Encabezado"/>
    </w:pPr>
  </w:p>
  <w:p w14:paraId="10B7DA6D" w14:textId="77777777" w:rsidR="00881485" w:rsidRDefault="00881485" w:rsidP="00836CF8">
    <w:pPr>
      <w:pStyle w:val="Encabezado"/>
    </w:pPr>
    <w:r>
      <w:t xml:space="preserve">                                                </w:t>
    </w:r>
  </w:p>
  <w:p w14:paraId="64FD5B81" w14:textId="77777777" w:rsidR="00A63DD8" w:rsidRDefault="00881485" w:rsidP="00836CF8">
    <w:pPr>
      <w:pStyle w:val="Encabezado"/>
    </w:pPr>
    <w:r>
      <w:t xml:space="preserve">                                         </w:t>
    </w:r>
    <w:r w:rsidR="001108D5">
      <w:t xml:space="preserve">       </w:t>
    </w:r>
    <w:r w:rsidR="00DE0E1F">
      <w:t xml:space="preserve">                    </w:t>
    </w:r>
    <w:r w:rsidR="001108D5">
      <w:t xml:space="preserve">                                              </w:t>
    </w:r>
  </w:p>
  <w:tbl>
    <w:tblPr>
      <w:tblW w:w="10926" w:type="dxa"/>
      <w:tblInd w:w="-1050" w:type="dxa"/>
      <w:tblBorders>
        <w:top w:val="single" w:sz="8" w:space="0" w:color="3399FF"/>
        <w:left w:val="single" w:sz="8" w:space="0" w:color="3399FF"/>
        <w:bottom w:val="single" w:sz="8" w:space="0" w:color="3399FF"/>
        <w:right w:val="single" w:sz="8" w:space="0" w:color="3399FF"/>
        <w:insideH w:val="single" w:sz="8" w:space="0" w:color="3399FF"/>
        <w:insideV w:val="single" w:sz="8" w:space="0" w:color="3399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7"/>
      <w:gridCol w:w="4265"/>
      <w:gridCol w:w="4014"/>
    </w:tblGrid>
    <w:tr w:rsidR="00A63DD8" w14:paraId="4D95F865" w14:textId="77777777" w:rsidTr="00A63DD8">
      <w:trPr>
        <w:trHeight w:val="689"/>
      </w:trPr>
      <w:tc>
        <w:tcPr>
          <w:tcW w:w="2647" w:type="dxa"/>
        </w:tcPr>
        <w:p w14:paraId="571334D6" w14:textId="7521764B" w:rsidR="00A63DD8" w:rsidRDefault="00A63DD8" w:rsidP="00A63DD8">
          <w:pPr>
            <w:pStyle w:val="Encabezado"/>
            <w:rPr>
              <w:color w:val="1F4E79" w:themeColor="accent1" w:themeShade="80"/>
              <w:sz w:val="16"/>
              <w:szCs w:val="16"/>
            </w:rPr>
          </w:pPr>
          <w:r w:rsidRPr="00A63DD8">
            <w:rPr>
              <w:color w:val="1F4E79" w:themeColor="accent1" w:themeShade="80"/>
              <w:sz w:val="16"/>
              <w:szCs w:val="16"/>
            </w:rPr>
            <w:t>INT_</w:t>
          </w:r>
          <w:r>
            <w:rPr>
              <w:color w:val="1F4E79" w:themeColor="accent1" w:themeShade="80"/>
              <w:sz w:val="16"/>
              <w:szCs w:val="16"/>
            </w:rPr>
            <w:t>E_</w:t>
          </w:r>
          <w:r w:rsidRPr="00A63DD8">
            <w:rPr>
              <w:color w:val="1F4E79" w:themeColor="accent1" w:themeShade="80"/>
              <w:sz w:val="16"/>
              <w:szCs w:val="16"/>
            </w:rPr>
            <w:t>006_FG</w:t>
          </w:r>
        </w:p>
        <w:p w14:paraId="7AD5FC64" w14:textId="16EE828E" w:rsidR="00A63DD8" w:rsidRPr="00637EE0" w:rsidRDefault="00A63DD8" w:rsidP="00A63DD8">
          <w:pPr>
            <w:pStyle w:val="Encabezado"/>
            <w:rPr>
              <w:color w:val="1F4E79" w:themeColor="accent1" w:themeShade="80"/>
              <w:sz w:val="16"/>
              <w:szCs w:val="16"/>
            </w:rPr>
          </w:pPr>
          <w:r w:rsidRPr="00637EE0">
            <w:rPr>
              <w:color w:val="1F4E79" w:themeColor="accent1" w:themeShade="80"/>
              <w:sz w:val="16"/>
              <w:szCs w:val="16"/>
            </w:rPr>
            <w:t>G: General</w:t>
          </w:r>
        </w:p>
        <w:p w14:paraId="7E409531" w14:textId="77777777" w:rsidR="00A63DD8" w:rsidRPr="00D623CC" w:rsidRDefault="00A63DD8" w:rsidP="00A63DD8">
          <w:pPr>
            <w:pStyle w:val="Encabezado"/>
            <w:rPr>
              <w:sz w:val="16"/>
              <w:szCs w:val="16"/>
            </w:rPr>
          </w:pPr>
          <w:r w:rsidRPr="00637EE0">
            <w:rPr>
              <w:color w:val="1F4E79" w:themeColor="accent1" w:themeShade="80"/>
              <w:sz w:val="16"/>
              <w:szCs w:val="16"/>
            </w:rPr>
            <w:t>E: Específica</w:t>
          </w:r>
        </w:p>
      </w:tc>
      <w:tc>
        <w:tcPr>
          <w:tcW w:w="4265" w:type="dxa"/>
          <w:vAlign w:val="center"/>
        </w:tcPr>
        <w:p w14:paraId="0EA8653A" w14:textId="77777777" w:rsidR="00A63DD8" w:rsidRPr="009621FC" w:rsidRDefault="00A63DD8" w:rsidP="00A63DD8">
          <w:pPr>
            <w:pStyle w:val="Encabezado"/>
            <w:jc w:val="center"/>
            <w:rPr>
              <w:bCs/>
              <w:color w:val="1F4E79" w:themeColor="accent1" w:themeShade="80"/>
            </w:rPr>
          </w:pPr>
          <w:r>
            <w:rPr>
              <w:bCs/>
              <w:color w:val="1F4E79" w:themeColor="accent1" w:themeShade="80"/>
            </w:rPr>
            <w:t xml:space="preserve">       Procedimientos Empresas FG</w:t>
          </w:r>
        </w:p>
      </w:tc>
      <w:tc>
        <w:tcPr>
          <w:tcW w:w="4014" w:type="dxa"/>
          <w:vAlign w:val="center"/>
        </w:tcPr>
        <w:p w14:paraId="6D400F40" w14:textId="77777777" w:rsidR="00A63DD8" w:rsidRPr="00982577" w:rsidRDefault="00A63DD8" w:rsidP="00A63DD8">
          <w:pPr>
            <w:pStyle w:val="Encabezado"/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D671522" wp14:editId="46A2760B">
                <wp:extent cx="1419225" cy="180975"/>
                <wp:effectExtent l="0" t="0" r="9525" b="9525"/>
                <wp:docPr id="2059302031" name="Imagen 2059302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33573" w14:textId="135CAA49" w:rsidR="00881485" w:rsidRDefault="00881485" w:rsidP="00836CF8">
    <w:pPr>
      <w:pStyle w:val="Encabezado"/>
    </w:pPr>
  </w:p>
  <w:p w14:paraId="45668346" w14:textId="77777777" w:rsidR="00881485" w:rsidRPr="00C6429F" w:rsidRDefault="00881485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5538"/>
    <w:multiLevelType w:val="multilevel"/>
    <w:tmpl w:val="002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76716"/>
    <w:multiLevelType w:val="multilevel"/>
    <w:tmpl w:val="1B8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860E3"/>
    <w:multiLevelType w:val="hybridMultilevel"/>
    <w:tmpl w:val="44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70699"/>
    <w:multiLevelType w:val="hybridMultilevel"/>
    <w:tmpl w:val="C032DB0C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230041">
    <w:abstractNumId w:val="10"/>
  </w:num>
  <w:num w:numId="2" w16cid:durableId="1728840508">
    <w:abstractNumId w:val="10"/>
  </w:num>
  <w:num w:numId="3" w16cid:durableId="1425760149">
    <w:abstractNumId w:val="7"/>
  </w:num>
  <w:num w:numId="4" w16cid:durableId="995374327">
    <w:abstractNumId w:val="3"/>
  </w:num>
  <w:num w:numId="5" w16cid:durableId="1826899490">
    <w:abstractNumId w:val="9"/>
  </w:num>
  <w:num w:numId="6" w16cid:durableId="1235893724">
    <w:abstractNumId w:val="6"/>
  </w:num>
  <w:num w:numId="7" w16cid:durableId="1466897993">
    <w:abstractNumId w:val="5"/>
  </w:num>
  <w:num w:numId="8" w16cid:durableId="676930852">
    <w:abstractNumId w:val="11"/>
  </w:num>
  <w:num w:numId="9" w16cid:durableId="2071071513">
    <w:abstractNumId w:val="0"/>
  </w:num>
  <w:num w:numId="10" w16cid:durableId="570820574">
    <w:abstractNumId w:val="4"/>
  </w:num>
  <w:num w:numId="11" w16cid:durableId="1322928613">
    <w:abstractNumId w:val="1"/>
  </w:num>
  <w:num w:numId="12" w16cid:durableId="1254895405">
    <w:abstractNumId w:val="2"/>
  </w:num>
  <w:num w:numId="13" w16cid:durableId="276450087">
    <w:abstractNumId w:val="8"/>
  </w:num>
  <w:num w:numId="14" w16cid:durableId="9725596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07995"/>
    <w:rsid w:val="00031DAF"/>
    <w:rsid w:val="0003338D"/>
    <w:rsid w:val="00047CF7"/>
    <w:rsid w:val="0005330D"/>
    <w:rsid w:val="00070E35"/>
    <w:rsid w:val="0007178F"/>
    <w:rsid w:val="00084BA5"/>
    <w:rsid w:val="00095DD4"/>
    <w:rsid w:val="0009628D"/>
    <w:rsid w:val="00097A86"/>
    <w:rsid w:val="000A636E"/>
    <w:rsid w:val="000A708D"/>
    <w:rsid w:val="000B605F"/>
    <w:rsid w:val="000B647A"/>
    <w:rsid w:val="000B6545"/>
    <w:rsid w:val="000C2E02"/>
    <w:rsid w:val="000C7909"/>
    <w:rsid w:val="000D2485"/>
    <w:rsid w:val="000D34B0"/>
    <w:rsid w:val="000D4E99"/>
    <w:rsid w:val="000E4A3C"/>
    <w:rsid w:val="000F3B33"/>
    <w:rsid w:val="001108D5"/>
    <w:rsid w:val="001110F4"/>
    <w:rsid w:val="00120A11"/>
    <w:rsid w:val="00124463"/>
    <w:rsid w:val="00140E6B"/>
    <w:rsid w:val="00160EFF"/>
    <w:rsid w:val="0017365A"/>
    <w:rsid w:val="00181485"/>
    <w:rsid w:val="0019170B"/>
    <w:rsid w:val="001B0D79"/>
    <w:rsid w:val="001B16CB"/>
    <w:rsid w:val="001C09C7"/>
    <w:rsid w:val="00215B4A"/>
    <w:rsid w:val="00217CB4"/>
    <w:rsid w:val="0022410E"/>
    <w:rsid w:val="00232936"/>
    <w:rsid w:val="0024689D"/>
    <w:rsid w:val="00247BE0"/>
    <w:rsid w:val="002524BC"/>
    <w:rsid w:val="002532E3"/>
    <w:rsid w:val="00277E02"/>
    <w:rsid w:val="002869F9"/>
    <w:rsid w:val="00290CB8"/>
    <w:rsid w:val="002A4F86"/>
    <w:rsid w:val="002A6EB9"/>
    <w:rsid w:val="002B792F"/>
    <w:rsid w:val="002E30EB"/>
    <w:rsid w:val="002E5526"/>
    <w:rsid w:val="00310235"/>
    <w:rsid w:val="00310F3D"/>
    <w:rsid w:val="003153E1"/>
    <w:rsid w:val="00330174"/>
    <w:rsid w:val="00350B6D"/>
    <w:rsid w:val="00352104"/>
    <w:rsid w:val="00354CF7"/>
    <w:rsid w:val="00361A1C"/>
    <w:rsid w:val="0036476F"/>
    <w:rsid w:val="00367A2A"/>
    <w:rsid w:val="00367A68"/>
    <w:rsid w:val="003729E6"/>
    <w:rsid w:val="003751C4"/>
    <w:rsid w:val="00382179"/>
    <w:rsid w:val="003C7DED"/>
    <w:rsid w:val="0041250E"/>
    <w:rsid w:val="0042222A"/>
    <w:rsid w:val="00440209"/>
    <w:rsid w:val="0044421E"/>
    <w:rsid w:val="0045469E"/>
    <w:rsid w:val="00463D42"/>
    <w:rsid w:val="0048761E"/>
    <w:rsid w:val="004955AD"/>
    <w:rsid w:val="004A212D"/>
    <w:rsid w:val="004A46ED"/>
    <w:rsid w:val="004A7106"/>
    <w:rsid w:val="004B4E65"/>
    <w:rsid w:val="004E7E76"/>
    <w:rsid w:val="004F292F"/>
    <w:rsid w:val="004F2A06"/>
    <w:rsid w:val="00503A76"/>
    <w:rsid w:val="00504CA0"/>
    <w:rsid w:val="00513509"/>
    <w:rsid w:val="00571274"/>
    <w:rsid w:val="00591D2F"/>
    <w:rsid w:val="005943E8"/>
    <w:rsid w:val="005B5152"/>
    <w:rsid w:val="005B6BD3"/>
    <w:rsid w:val="005E13A8"/>
    <w:rsid w:val="0061347D"/>
    <w:rsid w:val="0064018F"/>
    <w:rsid w:val="00661864"/>
    <w:rsid w:val="0067178A"/>
    <w:rsid w:val="00680BBF"/>
    <w:rsid w:val="0069462E"/>
    <w:rsid w:val="006A2E50"/>
    <w:rsid w:val="006F2CF7"/>
    <w:rsid w:val="007156FA"/>
    <w:rsid w:val="00724173"/>
    <w:rsid w:val="00727B6E"/>
    <w:rsid w:val="007429A8"/>
    <w:rsid w:val="0075122A"/>
    <w:rsid w:val="0075577A"/>
    <w:rsid w:val="00756356"/>
    <w:rsid w:val="00762F24"/>
    <w:rsid w:val="00763B41"/>
    <w:rsid w:val="00795874"/>
    <w:rsid w:val="007B46C2"/>
    <w:rsid w:val="007C3378"/>
    <w:rsid w:val="00810F83"/>
    <w:rsid w:val="00827FD6"/>
    <w:rsid w:val="00830E2D"/>
    <w:rsid w:val="00836CF8"/>
    <w:rsid w:val="00845F02"/>
    <w:rsid w:val="008467F6"/>
    <w:rsid w:val="00850AF8"/>
    <w:rsid w:val="00850F0B"/>
    <w:rsid w:val="00855204"/>
    <w:rsid w:val="008563C1"/>
    <w:rsid w:val="00861659"/>
    <w:rsid w:val="00875F44"/>
    <w:rsid w:val="00881485"/>
    <w:rsid w:val="00886414"/>
    <w:rsid w:val="008C0324"/>
    <w:rsid w:val="008C1857"/>
    <w:rsid w:val="008C3744"/>
    <w:rsid w:val="008D2953"/>
    <w:rsid w:val="008F0925"/>
    <w:rsid w:val="008F2431"/>
    <w:rsid w:val="008F7FCA"/>
    <w:rsid w:val="00901019"/>
    <w:rsid w:val="009010C9"/>
    <w:rsid w:val="00910B51"/>
    <w:rsid w:val="0092146F"/>
    <w:rsid w:val="00936261"/>
    <w:rsid w:val="00936E4D"/>
    <w:rsid w:val="009530DE"/>
    <w:rsid w:val="009805DD"/>
    <w:rsid w:val="00990147"/>
    <w:rsid w:val="00991239"/>
    <w:rsid w:val="00995142"/>
    <w:rsid w:val="009A711F"/>
    <w:rsid w:val="009E22E5"/>
    <w:rsid w:val="009F5FA4"/>
    <w:rsid w:val="00A00A7E"/>
    <w:rsid w:val="00A01C6A"/>
    <w:rsid w:val="00A05809"/>
    <w:rsid w:val="00A140F9"/>
    <w:rsid w:val="00A40D91"/>
    <w:rsid w:val="00A63DD8"/>
    <w:rsid w:val="00A850DD"/>
    <w:rsid w:val="00AA6069"/>
    <w:rsid w:val="00AA608A"/>
    <w:rsid w:val="00AB02C7"/>
    <w:rsid w:val="00AC25B8"/>
    <w:rsid w:val="00AD20B0"/>
    <w:rsid w:val="00AD22D6"/>
    <w:rsid w:val="00AD367D"/>
    <w:rsid w:val="00AE418B"/>
    <w:rsid w:val="00B369FE"/>
    <w:rsid w:val="00B60A10"/>
    <w:rsid w:val="00B92BDC"/>
    <w:rsid w:val="00BB319C"/>
    <w:rsid w:val="00BD062A"/>
    <w:rsid w:val="00BE040B"/>
    <w:rsid w:val="00BE4149"/>
    <w:rsid w:val="00C054AF"/>
    <w:rsid w:val="00C145AE"/>
    <w:rsid w:val="00C14B85"/>
    <w:rsid w:val="00C22E52"/>
    <w:rsid w:val="00C3060B"/>
    <w:rsid w:val="00C3498C"/>
    <w:rsid w:val="00C63B8B"/>
    <w:rsid w:val="00C6429F"/>
    <w:rsid w:val="00C90CA5"/>
    <w:rsid w:val="00C9509A"/>
    <w:rsid w:val="00CA71AF"/>
    <w:rsid w:val="00CE1812"/>
    <w:rsid w:val="00CE236B"/>
    <w:rsid w:val="00CF255B"/>
    <w:rsid w:val="00CF67CB"/>
    <w:rsid w:val="00D06626"/>
    <w:rsid w:val="00D06950"/>
    <w:rsid w:val="00D33628"/>
    <w:rsid w:val="00D372EA"/>
    <w:rsid w:val="00D45BBC"/>
    <w:rsid w:val="00D61CAF"/>
    <w:rsid w:val="00D72334"/>
    <w:rsid w:val="00D871B7"/>
    <w:rsid w:val="00D9432F"/>
    <w:rsid w:val="00DC19E5"/>
    <w:rsid w:val="00DE0E1F"/>
    <w:rsid w:val="00DE1EDC"/>
    <w:rsid w:val="00DE500F"/>
    <w:rsid w:val="00E02AE8"/>
    <w:rsid w:val="00E035C0"/>
    <w:rsid w:val="00E0380D"/>
    <w:rsid w:val="00E21BC4"/>
    <w:rsid w:val="00E26F7F"/>
    <w:rsid w:val="00E32A1B"/>
    <w:rsid w:val="00E44CC6"/>
    <w:rsid w:val="00E91B60"/>
    <w:rsid w:val="00EA065E"/>
    <w:rsid w:val="00EA121D"/>
    <w:rsid w:val="00EA2469"/>
    <w:rsid w:val="00EA33A5"/>
    <w:rsid w:val="00EB0937"/>
    <w:rsid w:val="00EB64A2"/>
    <w:rsid w:val="00EE08B2"/>
    <w:rsid w:val="00EE36EB"/>
    <w:rsid w:val="00EF2EA2"/>
    <w:rsid w:val="00EF6796"/>
    <w:rsid w:val="00EF7282"/>
    <w:rsid w:val="00F124F8"/>
    <w:rsid w:val="00F1425E"/>
    <w:rsid w:val="00F40831"/>
    <w:rsid w:val="00F451DF"/>
    <w:rsid w:val="00F52033"/>
    <w:rsid w:val="00F5329C"/>
    <w:rsid w:val="00F62B40"/>
    <w:rsid w:val="00F63D73"/>
    <w:rsid w:val="00F66722"/>
    <w:rsid w:val="00F718B0"/>
    <w:rsid w:val="00F71FC8"/>
    <w:rsid w:val="00F76710"/>
    <w:rsid w:val="00F769F2"/>
    <w:rsid w:val="00FB2279"/>
    <w:rsid w:val="00FC5BF6"/>
    <w:rsid w:val="00FD76C2"/>
    <w:rsid w:val="00FE6E49"/>
    <w:rsid w:val="00FF31D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AA6F2"/>
  <w15:chartTrackingRefBased/>
  <w15:docId w15:val="{F6744BA2-673F-43DD-B592-CBC20B60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2.xlsx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0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3FCC58-EF69-4E7C-A7D2-747C74F75E24}">
  <we:reference id="wa104380955" version="3.16.2.1" store="es-ES" storeType="OMEX"/>
  <we:alternateReferences>
    <we:reference id="wa104380955" version="3.16.2.1" store="wa1043809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2" ma:contentTypeDescription="Crear nuevo documento." ma:contentTypeScope="" ma:versionID="483204bb7e513e6e0b8434988ba5f576">
  <xsd:schema xmlns:xsd="http://www.w3.org/2001/XMLSchema" xmlns:xs="http://www.w3.org/2001/XMLSchema" xmlns:p="http://schemas.microsoft.com/office/2006/metadata/properties" xmlns:ns2="e9fd279f-9903-4788-bad5-c2312223f35c" targetNamespace="http://schemas.microsoft.com/office/2006/metadata/properties" ma:root="true" ma:fieldsID="5b505241c1a099643c02c8b1a85be7b8" ns2:_="">
    <xsd:import namespace="e9fd279f-9903-4788-bad5-c2312223f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74E1B-853A-4DCA-B42F-AFD0E67D56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17CBC3-953A-4AF6-8694-FCBB4E1D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79f-9903-4788-bad5-c2312223f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3A7F8-DB9B-4917-8D5D-3C8FF590A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9ED7D-AEC8-401F-86DA-47947DC4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8162</TotalTime>
  <Pages>8</Pages>
  <Words>1401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Sebastian  Garrido  S</cp:lastModifiedBy>
  <cp:revision>64</cp:revision>
  <cp:lastPrinted>2018-11-23T18:29:00Z</cp:lastPrinted>
  <dcterms:created xsi:type="dcterms:W3CDTF">2023-11-20T10:51:00Z</dcterms:created>
  <dcterms:modified xsi:type="dcterms:W3CDTF">2023-11-27T16:21:00Z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