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B85" w:rsidRPr="0067178A" w:rsidRDefault="004F2A06" w:rsidP="002532E3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 w:rsidRPr="0067178A">
        <w:rPr>
          <w:rFonts w:ascii="Century Gothic" w:hAnsi="Century Gothic" w:cs="Times New Roman"/>
          <w:noProof/>
          <w:sz w:val="36"/>
          <w:szCs w:val="36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D3497" wp14:editId="02774453">
                <wp:simplePos x="0" y="0"/>
                <wp:positionH relativeFrom="column">
                  <wp:posOffset>-510540</wp:posOffset>
                </wp:positionH>
                <wp:positionV relativeFrom="paragraph">
                  <wp:posOffset>321783</wp:posOffset>
                </wp:positionV>
                <wp:extent cx="6779895" cy="8255"/>
                <wp:effectExtent l="0" t="0" r="20955" b="298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989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87BBE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25.35pt" to="49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" strokecolor="#4472c4 [3208]" strokeweight="1.5pt">
                <v:stroke joinstyle="miter"/>
              </v:line>
            </w:pict>
          </mc:Fallback>
        </mc:AlternateContent>
      </w:r>
      <w:r w:rsidR="00C14B85" w:rsidRPr="0067178A">
        <w:rPr>
          <w:rFonts w:ascii="Century Gothic" w:hAnsi="Century Gothic" w:cs="Times New Roman"/>
          <w:sz w:val="36"/>
          <w:szCs w:val="36"/>
        </w:rPr>
        <w:t xml:space="preserve">Instructivo </w:t>
      </w:r>
      <w:proofErr w:type="spellStart"/>
      <w:r w:rsidR="00C14B85" w:rsidRPr="0067178A">
        <w:rPr>
          <w:rFonts w:ascii="Century Gothic" w:hAnsi="Century Gothic" w:cs="Times New Roman"/>
          <w:sz w:val="36"/>
          <w:szCs w:val="36"/>
        </w:rPr>
        <w:t>N°</w:t>
      </w:r>
      <w:proofErr w:type="spellEnd"/>
      <w:r w:rsidR="00C14B85" w:rsidRPr="0067178A">
        <w:rPr>
          <w:rFonts w:ascii="Century Gothic" w:hAnsi="Century Gothic" w:cs="Times New Roman"/>
          <w:sz w:val="36"/>
          <w:szCs w:val="36"/>
        </w:rPr>
        <w:t xml:space="preserve"> 001</w:t>
      </w:r>
    </w:p>
    <w:p w:rsidR="00EE36EB" w:rsidRDefault="00EE36EB" w:rsidP="002532E3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:rsidR="002532E3" w:rsidRPr="00C145AE" w:rsidRDefault="00C6429F" w:rsidP="002532E3">
      <w:pPr>
        <w:spacing w:after="0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tab/>
        <w:t xml:space="preserve">                        </w:t>
      </w:r>
    </w:p>
    <w:p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:rsidR="00C6429F" w:rsidRPr="00C145AE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:rsidR="00C6429F" w:rsidRPr="00C145AE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:rsidR="00C6429F" w:rsidRPr="00C145AE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:rsidR="004F2A06" w:rsidRPr="00C145AE" w:rsidRDefault="004F2A06" w:rsidP="004F2A06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:rsidR="004F2A06" w:rsidRPr="00DE1EDC" w:rsidRDefault="0067178A" w:rsidP="00DE1EDC">
      <w:pPr>
        <w:spacing w:after="0"/>
        <w:jc w:val="center"/>
        <w:rPr>
          <w:rFonts w:ascii="Century Gothic" w:hAnsi="Century Gothic" w:cs="Times New Roman"/>
        </w:rPr>
      </w:pPr>
      <w:r w:rsidRPr="00BD062A">
        <w:rPr>
          <w:rFonts w:ascii="Century Gothic" w:hAnsi="Century Gothic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DE1EDC" w:rsidRPr="00DE1EDC">
        <w:rPr>
          <w:rFonts w:ascii="Century Gothic" w:hAnsi="Century Gothic" w:cs="Times New Roman"/>
          <w:sz w:val="28"/>
          <w:szCs w:val="28"/>
        </w:rPr>
        <w:t>ratamiento “</w:t>
      </w:r>
      <w:r>
        <w:rPr>
          <w:rFonts w:ascii="Century Gothic" w:hAnsi="Century Gothic" w:cs="Times New Roman"/>
          <w:sz w:val="28"/>
          <w:szCs w:val="28"/>
        </w:rPr>
        <w:t>R</w:t>
      </w:r>
      <w:r w:rsidR="00DE1EDC" w:rsidRPr="00DE1EDC">
        <w:rPr>
          <w:rFonts w:ascii="Century Gothic" w:hAnsi="Century Gothic" w:cs="Times New Roman"/>
          <w:sz w:val="28"/>
          <w:szCs w:val="28"/>
        </w:rPr>
        <w:t xml:space="preserve">echazo </w:t>
      </w:r>
      <w:r>
        <w:rPr>
          <w:rFonts w:ascii="Century Gothic" w:hAnsi="Century Gothic" w:cs="Times New Roman"/>
          <w:sz w:val="28"/>
          <w:szCs w:val="28"/>
        </w:rPr>
        <w:t>C</w:t>
      </w:r>
      <w:r w:rsidR="00DE1EDC" w:rsidRPr="00DE1EDC">
        <w:rPr>
          <w:rFonts w:ascii="Century Gothic" w:hAnsi="Century Gothic" w:cs="Times New Roman"/>
          <w:sz w:val="28"/>
          <w:szCs w:val="28"/>
        </w:rPr>
        <w:t>omercial”</w:t>
      </w:r>
      <w:r>
        <w:rPr>
          <w:rFonts w:ascii="Century Gothic" w:hAnsi="Century Gothic" w:cs="Times New Roman"/>
          <w:sz w:val="28"/>
          <w:szCs w:val="28"/>
        </w:rPr>
        <w:t>,</w:t>
      </w:r>
      <w:r w:rsidR="00DE1EDC" w:rsidRPr="00DE1EDC">
        <w:rPr>
          <w:rFonts w:ascii="Century Gothic" w:hAnsi="Century Gothic" w:cs="Times New Roman"/>
          <w:sz w:val="28"/>
          <w:szCs w:val="28"/>
        </w:rPr>
        <w:t xml:space="preserve"> generación de OC en Casa Central</w:t>
      </w:r>
      <w:r w:rsidR="00CA55FC">
        <w:rPr>
          <w:rFonts w:ascii="Century Gothic" w:hAnsi="Century Gothic" w:cs="Times New Roman"/>
          <w:sz w:val="28"/>
          <w:szCs w:val="28"/>
        </w:rPr>
        <w:t>.</w:t>
      </w: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:rsidR="004F2A06" w:rsidRDefault="004F2A06" w:rsidP="002532E3">
      <w:pPr>
        <w:spacing w:after="0"/>
        <w:rPr>
          <w:rFonts w:ascii="Century Gothic" w:hAnsi="Century Gothic" w:cs="Times New Roman"/>
        </w:rPr>
      </w:pPr>
    </w:p>
    <w:p w:rsidR="0067178A" w:rsidRDefault="0067178A" w:rsidP="002532E3">
      <w:pPr>
        <w:spacing w:after="0"/>
        <w:rPr>
          <w:rFonts w:ascii="Century Gothic" w:hAnsi="Century Gothic" w:cs="Times New Roman"/>
        </w:rPr>
      </w:pPr>
    </w:p>
    <w:p w:rsidR="0067178A" w:rsidRDefault="0067178A" w:rsidP="002532E3">
      <w:pPr>
        <w:spacing w:after="0"/>
        <w:rPr>
          <w:rFonts w:ascii="Century Gothic" w:hAnsi="Century Gothic" w:cs="Times New Roman"/>
        </w:rPr>
      </w:pPr>
    </w:p>
    <w:p w:rsidR="0067178A" w:rsidRDefault="0067178A" w:rsidP="002532E3">
      <w:pPr>
        <w:spacing w:after="0"/>
        <w:rPr>
          <w:rFonts w:ascii="Century Gothic" w:hAnsi="Century Gothic" w:cs="Times New Roman"/>
        </w:rPr>
      </w:pPr>
    </w:p>
    <w:p w:rsidR="0067178A" w:rsidRDefault="0067178A" w:rsidP="002532E3">
      <w:pPr>
        <w:spacing w:after="0"/>
        <w:rPr>
          <w:rFonts w:ascii="Century Gothic" w:hAnsi="Century Gothic" w:cs="Times New Roman"/>
        </w:rPr>
      </w:pPr>
    </w:p>
    <w:p w:rsidR="0067178A" w:rsidRDefault="0067178A" w:rsidP="002532E3">
      <w:pPr>
        <w:spacing w:after="0"/>
        <w:rPr>
          <w:rFonts w:ascii="Century Gothic" w:hAnsi="Century Gothic" w:cs="Times New Roman"/>
        </w:rPr>
      </w:pPr>
    </w:p>
    <w:p w:rsidR="0067178A" w:rsidRDefault="0067178A" w:rsidP="002532E3">
      <w:pPr>
        <w:spacing w:after="0"/>
        <w:rPr>
          <w:rFonts w:ascii="Century Gothic" w:hAnsi="Century Gothic" w:cs="Times New Roman"/>
        </w:rPr>
      </w:pPr>
    </w:p>
    <w:p w:rsidR="0067178A" w:rsidRDefault="0067178A" w:rsidP="002532E3">
      <w:pPr>
        <w:spacing w:after="0"/>
        <w:rPr>
          <w:rFonts w:ascii="Century Gothic" w:hAnsi="Century Gothic" w:cs="Times New Roman"/>
        </w:rPr>
      </w:pPr>
    </w:p>
    <w:p w:rsidR="0067178A" w:rsidRPr="00C145AE" w:rsidRDefault="0067178A" w:rsidP="002532E3">
      <w:pPr>
        <w:spacing w:after="0"/>
        <w:rPr>
          <w:rFonts w:ascii="Century Gothic" w:hAnsi="Century Gothic" w:cs="Times New Roman"/>
        </w:rPr>
      </w:pPr>
    </w:p>
    <w:p w:rsidR="004F2A06" w:rsidRPr="00C145AE" w:rsidRDefault="00D5056A" w:rsidP="004F2A06">
      <w:pPr>
        <w:spacing w:after="0"/>
        <w:jc w:val="right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  <w:t>Versión 5</w:t>
      </w:r>
    </w:p>
    <w:p w:rsidR="004F2A06" w:rsidRPr="00C145AE" w:rsidRDefault="004F2A06" w:rsidP="004F2A06">
      <w:pPr>
        <w:spacing w:after="0"/>
        <w:jc w:val="right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tab/>
      </w:r>
      <w:r w:rsidR="00D5056A">
        <w:rPr>
          <w:rFonts w:ascii="Century Gothic" w:hAnsi="Century Gothic" w:cs="Times New Roman"/>
        </w:rPr>
        <w:t>Enero</w:t>
      </w:r>
      <w:r w:rsidRPr="00C145AE">
        <w:rPr>
          <w:rFonts w:ascii="Century Gothic" w:hAnsi="Century Gothic" w:cs="Times New Roman"/>
        </w:rPr>
        <w:t xml:space="preserve"> 201</w:t>
      </w:r>
      <w:r w:rsidR="00D5056A">
        <w:rPr>
          <w:rFonts w:ascii="Century Gothic" w:hAnsi="Century Gothic" w:cs="Times New Roman"/>
        </w:rPr>
        <w:t>9</w:t>
      </w:r>
    </w:p>
    <w:p w:rsidR="004F2A06" w:rsidRPr="00C145AE" w:rsidRDefault="004F2A06" w:rsidP="008A3840">
      <w:pPr>
        <w:spacing w:after="0"/>
        <w:ind w:left="708" w:hanging="708"/>
        <w:jc w:val="right"/>
        <w:rPr>
          <w:rFonts w:ascii="Century Gothic" w:hAnsi="Century Gothic" w:cs="Times New Roman"/>
        </w:rPr>
      </w:pPr>
    </w:p>
    <w:p w:rsidR="004F2A06" w:rsidRPr="00C145AE" w:rsidRDefault="004F2A06" w:rsidP="004F2A06">
      <w:pPr>
        <w:spacing w:after="0"/>
        <w:jc w:val="right"/>
        <w:rPr>
          <w:rFonts w:ascii="Century Gothic" w:hAnsi="Century Gothic" w:cs="Times New Roman"/>
        </w:rPr>
      </w:pPr>
    </w:p>
    <w:tbl>
      <w:tblPr>
        <w:tblStyle w:val="Tablaconcuadrcula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99"/>
        <w:gridCol w:w="547"/>
        <w:gridCol w:w="5482"/>
      </w:tblGrid>
      <w:tr w:rsidR="00C145AE" w:rsidRPr="0009628D" w:rsidTr="0009628D">
        <w:trPr>
          <w:trHeight w:val="264"/>
        </w:trPr>
        <w:tc>
          <w:tcPr>
            <w:tcW w:w="1585" w:type="pct"/>
          </w:tcPr>
          <w:p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  <w:r w:rsidR="008A3840">
              <w:rPr>
                <w:rFonts w:ascii="Century Gothic" w:hAnsi="Century Gothic" w:cs="Times New Roman"/>
                <w:sz w:val="20"/>
                <w:szCs w:val="20"/>
              </w:rPr>
              <w:t xml:space="preserve"> Original</w:t>
            </w:r>
          </w:p>
        </w:tc>
        <w:tc>
          <w:tcPr>
            <w:tcW w:w="310" w:type="pct"/>
          </w:tcPr>
          <w:p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:rsidR="00C145AE" w:rsidRPr="0009628D" w:rsidRDefault="002E30EB" w:rsidP="00C14B85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15</w:t>
            </w:r>
            <w:r w:rsidR="0009628D">
              <w:rPr>
                <w:rFonts w:ascii="Century Gothic" w:hAnsi="Century Gothic" w:cs="Times New Roman"/>
                <w:sz w:val="20"/>
                <w:szCs w:val="20"/>
              </w:rPr>
              <w:t>-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11</w:t>
            </w:r>
            <w:r w:rsidR="0009628D">
              <w:rPr>
                <w:rFonts w:ascii="Century Gothic" w:hAnsi="Century Gothic" w:cs="Times New Roman"/>
                <w:sz w:val="20"/>
                <w:szCs w:val="20"/>
              </w:rPr>
              <w:t>-201</w:t>
            </w:r>
            <w:r w:rsidR="00C14B85">
              <w:rPr>
                <w:rFonts w:ascii="Century Gothic" w:hAnsi="Century Gothic" w:cs="Times New Roman"/>
                <w:sz w:val="20"/>
                <w:szCs w:val="20"/>
              </w:rPr>
              <w:t>7</w:t>
            </w:r>
          </w:p>
        </w:tc>
      </w:tr>
      <w:tr w:rsidR="00C145AE" w:rsidRPr="0009628D" w:rsidTr="0009628D">
        <w:trPr>
          <w:trHeight w:val="249"/>
        </w:trPr>
        <w:tc>
          <w:tcPr>
            <w:tcW w:w="1585" w:type="pct"/>
          </w:tcPr>
          <w:p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Versión</w:t>
            </w:r>
          </w:p>
        </w:tc>
        <w:tc>
          <w:tcPr>
            <w:tcW w:w="310" w:type="pct"/>
          </w:tcPr>
          <w:p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:rsidR="00C145AE" w:rsidRPr="0009628D" w:rsidRDefault="00D5056A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Versión 5</w:t>
            </w:r>
          </w:p>
        </w:tc>
      </w:tr>
      <w:tr w:rsidR="00140E6B" w:rsidRPr="0009628D" w:rsidTr="0009628D">
        <w:trPr>
          <w:trHeight w:val="249"/>
        </w:trPr>
        <w:tc>
          <w:tcPr>
            <w:tcW w:w="1585" w:type="pct"/>
          </w:tcPr>
          <w:p w:rsidR="00140E6B" w:rsidRPr="0009628D" w:rsidRDefault="002E30E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Código</w:t>
            </w:r>
          </w:p>
        </w:tc>
        <w:tc>
          <w:tcPr>
            <w:tcW w:w="310" w:type="pct"/>
          </w:tcPr>
          <w:p w:rsidR="00140E6B" w:rsidRPr="0009628D" w:rsidRDefault="00140E6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:rsidR="00140E6B" w:rsidRDefault="007B71A4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INT_</w:t>
            </w:r>
            <w:r w:rsidR="00140E6B">
              <w:rPr>
                <w:rFonts w:ascii="Century Gothic" w:hAnsi="Century Gothic" w:cs="Times New Roman"/>
                <w:sz w:val="20"/>
                <w:szCs w:val="20"/>
              </w:rPr>
              <w:t>001</w:t>
            </w:r>
            <w:r w:rsidR="002E30EB">
              <w:rPr>
                <w:rFonts w:ascii="Century Gothic" w:hAnsi="Century Gothic" w:cs="Times New Roman"/>
                <w:sz w:val="20"/>
                <w:szCs w:val="20"/>
              </w:rPr>
              <w:t>_FG</w:t>
            </w:r>
          </w:p>
        </w:tc>
      </w:tr>
      <w:tr w:rsidR="00C145AE" w:rsidRPr="0009628D" w:rsidTr="0009628D">
        <w:trPr>
          <w:trHeight w:val="264"/>
        </w:trPr>
        <w:tc>
          <w:tcPr>
            <w:tcW w:w="1585" w:type="pct"/>
          </w:tcPr>
          <w:p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Elaborado por</w:t>
            </w:r>
          </w:p>
        </w:tc>
        <w:tc>
          <w:tcPr>
            <w:tcW w:w="310" w:type="pct"/>
          </w:tcPr>
          <w:p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:rsidR="00C145AE" w:rsidRPr="0009628D" w:rsidRDefault="00C14B85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Sebastián Garrido</w:t>
            </w:r>
          </w:p>
        </w:tc>
      </w:tr>
      <w:tr w:rsidR="00AD367D" w:rsidRPr="0009628D" w:rsidTr="0009628D">
        <w:trPr>
          <w:trHeight w:val="264"/>
        </w:trPr>
        <w:tc>
          <w:tcPr>
            <w:tcW w:w="1585" w:type="pct"/>
          </w:tcPr>
          <w:p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Aprobado por </w:t>
            </w:r>
          </w:p>
        </w:tc>
        <w:tc>
          <w:tcPr>
            <w:tcW w:w="310" w:type="pct"/>
          </w:tcPr>
          <w:p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Juan Suazo C.</w:t>
            </w:r>
          </w:p>
        </w:tc>
      </w:tr>
      <w:tr w:rsidR="00AD367D" w:rsidRPr="0009628D" w:rsidTr="0009628D">
        <w:trPr>
          <w:trHeight w:val="249"/>
        </w:trPr>
        <w:tc>
          <w:tcPr>
            <w:tcW w:w="1585" w:type="pct"/>
          </w:tcPr>
          <w:p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Vigencia</w:t>
            </w:r>
          </w:p>
        </w:tc>
        <w:tc>
          <w:tcPr>
            <w:tcW w:w="310" w:type="pct"/>
          </w:tcPr>
          <w:p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imes New Roman"/>
                <w:sz w:val="20"/>
                <w:szCs w:val="20"/>
              </w:rPr>
              <w:t>1 a</w:t>
            </w:r>
            <w:r w:rsidRPr="0009628D">
              <w:rPr>
                <w:rFonts w:ascii="Century Gothic" w:hAnsi="Century Gothic" w:cs="Times New Roman"/>
                <w:sz w:val="20"/>
                <w:szCs w:val="20"/>
              </w:rPr>
              <w:t>ño a contar</w:t>
            </w:r>
            <w:proofErr w:type="gramEnd"/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 de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la </w:t>
            </w:r>
            <w:r w:rsidRPr="0009628D">
              <w:rPr>
                <w:rFonts w:ascii="Century Gothic" w:hAnsi="Century Gothic" w:cs="Times New Roman"/>
                <w:sz w:val="20"/>
                <w:szCs w:val="20"/>
              </w:rPr>
              <w:t>publicación</w:t>
            </w:r>
          </w:p>
        </w:tc>
      </w:tr>
    </w:tbl>
    <w:p w:rsidR="00C145AE" w:rsidRDefault="00C145AE" w:rsidP="004F2A06">
      <w:pPr>
        <w:spacing w:after="0"/>
        <w:rPr>
          <w:rFonts w:ascii="Century Gothic" w:hAnsi="Century Gothic" w:cs="Times New Roman"/>
        </w:rPr>
      </w:pPr>
    </w:p>
    <w:p w:rsidR="00C145AE" w:rsidRDefault="00C145AE" w:rsidP="004F2A06">
      <w:pPr>
        <w:spacing w:after="0"/>
        <w:rPr>
          <w:rFonts w:ascii="Century Gothic" w:hAnsi="Century Gothic" w:cs="Times New Roman"/>
        </w:rPr>
      </w:pPr>
    </w:p>
    <w:p w:rsidR="00C145AE" w:rsidRPr="00AD20B0" w:rsidRDefault="00F1425E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4D1DC" wp14:editId="6673B71E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562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4558F"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3pt" to="4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AD20B0">
        <w:rPr>
          <w:rFonts w:ascii="Century Gothic" w:hAnsi="Century Gothic" w:cs="Times New Roman"/>
        </w:rPr>
        <w:t>Propósito</w:t>
      </w:r>
    </w:p>
    <w:p w:rsidR="00C145AE" w:rsidRDefault="00C145AE" w:rsidP="00F1425E">
      <w:pPr>
        <w:spacing w:after="0"/>
        <w:rPr>
          <w:rFonts w:ascii="Century Gothic" w:hAnsi="Century Gothic" w:cs="Times New Roman"/>
        </w:rPr>
      </w:pPr>
    </w:p>
    <w:p w:rsidR="0009628D" w:rsidRDefault="00C14B85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siguien</w:t>
      </w:r>
      <w:r w:rsidR="00F1425E">
        <w:rPr>
          <w:rFonts w:ascii="Century Gothic" w:hAnsi="Century Gothic" w:cs="Times New Roman"/>
          <w:sz w:val="20"/>
          <w:szCs w:val="20"/>
        </w:rPr>
        <w:t xml:space="preserve">te instructivo, tiene por </w:t>
      </w:r>
      <w:r w:rsidR="00247BE0">
        <w:rPr>
          <w:rFonts w:ascii="Century Gothic" w:hAnsi="Century Gothic" w:cs="Times New Roman"/>
          <w:sz w:val="20"/>
          <w:szCs w:val="20"/>
        </w:rPr>
        <w:t>objetivo normar la actividad de</w:t>
      </w:r>
      <w:r w:rsidR="00F1425E">
        <w:rPr>
          <w:rFonts w:ascii="Century Gothic" w:hAnsi="Century Gothic" w:cs="Times New Roman"/>
          <w:sz w:val="20"/>
          <w:szCs w:val="20"/>
        </w:rPr>
        <w:t xml:space="preserve"> rechazo comercial y tratamiento de órdenes de compra de responsabilidad de C</w:t>
      </w:r>
      <w:r w:rsidR="00AD20B0">
        <w:rPr>
          <w:rFonts w:ascii="Century Gothic" w:hAnsi="Century Gothic" w:cs="Times New Roman"/>
          <w:sz w:val="20"/>
          <w:szCs w:val="20"/>
        </w:rPr>
        <w:t>asa Central, así como</w:t>
      </w:r>
      <w:r w:rsidR="00247BE0">
        <w:rPr>
          <w:rFonts w:ascii="Century Gothic" w:hAnsi="Century Gothic" w:cs="Times New Roman"/>
          <w:sz w:val="20"/>
          <w:szCs w:val="20"/>
        </w:rPr>
        <w:t>,</w:t>
      </w:r>
      <w:r w:rsidR="00AD20B0">
        <w:rPr>
          <w:rFonts w:ascii="Century Gothic" w:hAnsi="Century Gothic" w:cs="Times New Roman"/>
          <w:sz w:val="20"/>
          <w:szCs w:val="20"/>
        </w:rPr>
        <w:t xml:space="preserve"> brindar información del proceder por compras con caja chica o fondos por rendir.</w:t>
      </w:r>
    </w:p>
    <w:p w:rsidR="00C14B85" w:rsidRDefault="00C14B85" w:rsidP="00C14B85">
      <w:pPr>
        <w:spacing w:after="0" w:line="240" w:lineRule="auto"/>
        <w:jc w:val="both"/>
        <w:rPr>
          <w:rFonts w:ascii="Century Gothic" w:hAnsi="Century Gothic" w:cs="Times New Roman"/>
        </w:rPr>
      </w:pPr>
    </w:p>
    <w:p w:rsidR="0009628D" w:rsidRDefault="0009628D" w:rsidP="004F2A06">
      <w:pPr>
        <w:spacing w:after="0"/>
        <w:rPr>
          <w:rFonts w:ascii="Century Gothic" w:hAnsi="Century Gothic" w:cs="Times New Roman"/>
        </w:rPr>
      </w:pPr>
    </w:p>
    <w:p w:rsidR="0009628D" w:rsidRPr="00AD20B0" w:rsidRDefault="0009628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Declaración Corporativa</w:t>
      </w:r>
    </w:p>
    <w:p w:rsidR="0009628D" w:rsidRDefault="00F1425E" w:rsidP="00F1425E">
      <w:pPr>
        <w:tabs>
          <w:tab w:val="left" w:pos="2595"/>
        </w:tabs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4F4B6" wp14:editId="706C92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DEB97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9628D" w:rsidRDefault="00C14B85" w:rsidP="004A46ED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En el </w:t>
      </w:r>
      <w:r w:rsidR="008C3744">
        <w:rPr>
          <w:rFonts w:ascii="Century Gothic" w:hAnsi="Century Gothic" w:cs="Times New Roman"/>
          <w:sz w:val="20"/>
          <w:szCs w:val="20"/>
        </w:rPr>
        <w:t xml:space="preserve">ánimo de estandarizar </w:t>
      </w:r>
      <w:r>
        <w:rPr>
          <w:rFonts w:ascii="Century Gothic" w:hAnsi="Century Gothic" w:cs="Times New Roman"/>
          <w:sz w:val="20"/>
          <w:szCs w:val="20"/>
        </w:rPr>
        <w:t>pr</w:t>
      </w:r>
      <w:r w:rsidR="008C3744">
        <w:rPr>
          <w:rFonts w:ascii="Century Gothic" w:hAnsi="Century Gothic" w:cs="Times New Roman"/>
          <w:sz w:val="20"/>
          <w:szCs w:val="20"/>
        </w:rPr>
        <w:t xml:space="preserve">ocesos contables / financieros y </w:t>
      </w:r>
      <w:r w:rsidR="00F1425E">
        <w:rPr>
          <w:rFonts w:ascii="Century Gothic" w:hAnsi="Century Gothic" w:cs="Times New Roman"/>
          <w:sz w:val="20"/>
          <w:szCs w:val="20"/>
        </w:rPr>
        <w:t xml:space="preserve">con el objetivo de </w:t>
      </w:r>
      <w:r>
        <w:rPr>
          <w:rFonts w:ascii="Century Gothic" w:hAnsi="Century Gothic" w:cs="Times New Roman"/>
          <w:sz w:val="20"/>
          <w:szCs w:val="20"/>
        </w:rPr>
        <w:t xml:space="preserve">cerrar de manera </w:t>
      </w:r>
      <w:r w:rsidR="004A46ED">
        <w:rPr>
          <w:rFonts w:ascii="Century Gothic" w:hAnsi="Century Gothic" w:cs="Times New Roman"/>
          <w:sz w:val="20"/>
          <w:szCs w:val="20"/>
        </w:rPr>
        <w:t>oportuna</w:t>
      </w:r>
      <w:r w:rsidR="008C3744">
        <w:rPr>
          <w:rFonts w:ascii="Century Gothic" w:hAnsi="Century Gothic" w:cs="Times New Roman"/>
          <w:sz w:val="20"/>
          <w:szCs w:val="20"/>
        </w:rPr>
        <w:t xml:space="preserve"> </w:t>
      </w:r>
      <w:r w:rsidR="00247BE0">
        <w:rPr>
          <w:rFonts w:ascii="Century Gothic" w:hAnsi="Century Gothic" w:cs="Times New Roman"/>
          <w:sz w:val="20"/>
          <w:szCs w:val="20"/>
        </w:rPr>
        <w:t>los balances mensuales</w:t>
      </w:r>
      <w:r>
        <w:rPr>
          <w:rFonts w:ascii="Century Gothic" w:hAnsi="Century Gothic" w:cs="Times New Roman"/>
          <w:sz w:val="20"/>
          <w:szCs w:val="20"/>
        </w:rPr>
        <w:t xml:space="preserve"> de las empresas del Grupo FG, es que la alta dirección </w:t>
      </w:r>
      <w:r w:rsidR="008C3744">
        <w:rPr>
          <w:rFonts w:ascii="Century Gothic" w:hAnsi="Century Gothic" w:cs="Times New Roman"/>
          <w:sz w:val="20"/>
          <w:szCs w:val="20"/>
        </w:rPr>
        <w:t>brindará</w:t>
      </w:r>
      <w:r>
        <w:rPr>
          <w:rFonts w:ascii="Century Gothic" w:hAnsi="Century Gothic" w:cs="Times New Roman"/>
          <w:sz w:val="20"/>
          <w:szCs w:val="20"/>
        </w:rPr>
        <w:t xml:space="preserve"> instructivos, procedimientos y políticas </w:t>
      </w:r>
      <w:r w:rsidR="008C3744">
        <w:rPr>
          <w:rFonts w:ascii="Century Gothic" w:hAnsi="Century Gothic" w:cs="Times New Roman"/>
          <w:sz w:val="20"/>
          <w:szCs w:val="20"/>
        </w:rPr>
        <w:t>corporativas. Estas herramientas buscan ser de utilidad y ayuda para lograr los desafíos impuestos a la administración para el periodo 2017</w:t>
      </w:r>
      <w:r w:rsidR="00160EFF">
        <w:rPr>
          <w:rFonts w:ascii="Century Gothic" w:hAnsi="Century Gothic" w:cs="Times New Roman"/>
          <w:sz w:val="20"/>
          <w:szCs w:val="20"/>
        </w:rPr>
        <w:t xml:space="preserve"> / 2018</w:t>
      </w:r>
      <w:r w:rsidR="008C3744">
        <w:rPr>
          <w:rFonts w:ascii="Century Gothic" w:hAnsi="Century Gothic" w:cs="Times New Roman"/>
          <w:sz w:val="20"/>
          <w:szCs w:val="20"/>
        </w:rPr>
        <w:t>.</w:t>
      </w:r>
    </w:p>
    <w:p w:rsidR="0009628D" w:rsidRDefault="0009628D" w:rsidP="004F2A06">
      <w:pPr>
        <w:spacing w:after="0"/>
        <w:rPr>
          <w:rFonts w:ascii="Century Gothic" w:hAnsi="Century Gothic" w:cs="Times New Roman"/>
        </w:rPr>
      </w:pPr>
    </w:p>
    <w:p w:rsidR="0009628D" w:rsidRDefault="0009628D" w:rsidP="004F2A06">
      <w:pPr>
        <w:spacing w:after="0"/>
        <w:rPr>
          <w:rFonts w:ascii="Century Gothic" w:hAnsi="Century Gothic" w:cs="Times New Roman"/>
        </w:rPr>
      </w:pPr>
    </w:p>
    <w:p w:rsidR="0009628D" w:rsidRPr="00AD20B0" w:rsidRDefault="004A46E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Ámbito</w:t>
      </w:r>
      <w:r w:rsidR="0009628D" w:rsidRPr="00AD20B0">
        <w:rPr>
          <w:rFonts w:ascii="Century Gothic" w:hAnsi="Century Gothic" w:cs="Times New Roman"/>
        </w:rPr>
        <w:t xml:space="preserve"> o Alcance</w:t>
      </w:r>
    </w:p>
    <w:p w:rsidR="0003338D" w:rsidRDefault="00AD20B0" w:rsidP="00160EFF">
      <w:pPr>
        <w:jc w:val="both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A552A" wp14:editId="28E1EDF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B4944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6ED" w:rsidRDefault="0003338D" w:rsidP="00160EFF">
      <w:pPr>
        <w:jc w:val="both"/>
        <w:rPr>
          <w:rFonts w:ascii="Century Gothic" w:hAnsi="Century Gothic" w:cs="Times New Roman"/>
          <w:sz w:val="20"/>
          <w:szCs w:val="20"/>
        </w:rPr>
      </w:pPr>
      <w:r w:rsidRPr="0009628D">
        <w:rPr>
          <w:rFonts w:ascii="Century Gothic" w:hAnsi="Century Gothic" w:cs="Times New Roman"/>
          <w:sz w:val="20"/>
          <w:szCs w:val="20"/>
        </w:rPr>
        <w:t>Est</w:t>
      </w:r>
      <w:r w:rsidR="00F1425E">
        <w:rPr>
          <w:rFonts w:ascii="Century Gothic" w:hAnsi="Century Gothic" w:cs="Times New Roman"/>
          <w:sz w:val="20"/>
          <w:szCs w:val="20"/>
        </w:rPr>
        <w:t>e</w:t>
      </w:r>
      <w:r w:rsidRPr="0009628D">
        <w:rPr>
          <w:rFonts w:ascii="Century Gothic" w:hAnsi="Century Gothic" w:cs="Times New Roman"/>
          <w:sz w:val="20"/>
          <w:szCs w:val="20"/>
        </w:rPr>
        <w:t xml:space="preserve"> </w:t>
      </w:r>
      <w:r w:rsidR="00AD20B0">
        <w:rPr>
          <w:rFonts w:ascii="Century Gothic" w:hAnsi="Century Gothic" w:cs="Times New Roman"/>
          <w:sz w:val="20"/>
          <w:szCs w:val="20"/>
        </w:rPr>
        <w:t xml:space="preserve">instructivo aplica en </w:t>
      </w:r>
      <w:r w:rsidR="00247BE0">
        <w:rPr>
          <w:rFonts w:ascii="Century Gothic" w:hAnsi="Century Gothic" w:cs="Times New Roman"/>
          <w:sz w:val="20"/>
          <w:szCs w:val="20"/>
        </w:rPr>
        <w:t xml:space="preserve">el </w:t>
      </w:r>
      <w:r w:rsidR="00AD20B0">
        <w:rPr>
          <w:rFonts w:ascii="Century Gothic" w:hAnsi="Century Gothic" w:cs="Times New Roman"/>
          <w:sz w:val="20"/>
          <w:szCs w:val="20"/>
        </w:rPr>
        <w:t xml:space="preserve">área </w:t>
      </w:r>
      <w:r w:rsidR="00CA55FC">
        <w:rPr>
          <w:rFonts w:ascii="Century Gothic" w:hAnsi="Century Gothic" w:cs="Times New Roman"/>
          <w:sz w:val="20"/>
          <w:szCs w:val="20"/>
        </w:rPr>
        <w:t>ODE (Operación de documentación electrónica)</w:t>
      </w:r>
      <w:r w:rsidR="00AD20B0">
        <w:rPr>
          <w:rFonts w:ascii="Century Gothic" w:hAnsi="Century Gothic" w:cs="Times New Roman"/>
          <w:sz w:val="20"/>
          <w:szCs w:val="20"/>
        </w:rPr>
        <w:t xml:space="preserve"> </w:t>
      </w:r>
      <w:r w:rsidR="00160EFF">
        <w:rPr>
          <w:rFonts w:ascii="Century Gothic" w:hAnsi="Century Gothic" w:cs="Times New Roman"/>
          <w:sz w:val="20"/>
          <w:szCs w:val="20"/>
        </w:rPr>
        <w:t xml:space="preserve">de </w:t>
      </w:r>
      <w:r w:rsidR="00AD20B0">
        <w:rPr>
          <w:rFonts w:ascii="Century Gothic" w:hAnsi="Century Gothic" w:cs="Times New Roman"/>
          <w:sz w:val="20"/>
          <w:szCs w:val="20"/>
        </w:rPr>
        <w:t xml:space="preserve">Casa Central y </w:t>
      </w:r>
      <w:r w:rsidR="00160EFF">
        <w:rPr>
          <w:rFonts w:ascii="Century Gothic" w:hAnsi="Century Gothic" w:cs="Times New Roman"/>
          <w:sz w:val="20"/>
          <w:szCs w:val="20"/>
        </w:rPr>
        <w:t xml:space="preserve">a </w:t>
      </w:r>
      <w:r w:rsidR="00AD20B0">
        <w:rPr>
          <w:rFonts w:ascii="Century Gothic" w:hAnsi="Century Gothic" w:cs="Times New Roman"/>
          <w:sz w:val="20"/>
          <w:szCs w:val="20"/>
        </w:rPr>
        <w:t xml:space="preserve">los colaboradores que </w:t>
      </w:r>
      <w:r w:rsidR="008C0324">
        <w:rPr>
          <w:rFonts w:ascii="Century Gothic" w:hAnsi="Century Gothic" w:cs="Times New Roman"/>
          <w:sz w:val="20"/>
          <w:szCs w:val="20"/>
        </w:rPr>
        <w:t>efectúen</w:t>
      </w:r>
      <w:r w:rsidR="00AD20B0">
        <w:rPr>
          <w:rFonts w:ascii="Century Gothic" w:hAnsi="Century Gothic" w:cs="Times New Roman"/>
          <w:sz w:val="20"/>
          <w:szCs w:val="20"/>
        </w:rPr>
        <w:t xml:space="preserve"> compras con fondos propios, fondos por rendir o cajas Chicas.</w:t>
      </w:r>
    </w:p>
    <w:p w:rsidR="00AD20B0" w:rsidRPr="004A46ED" w:rsidRDefault="00AD20B0" w:rsidP="00AD20B0">
      <w:pPr>
        <w:rPr>
          <w:rFonts w:ascii="Century Gothic" w:hAnsi="Century Gothic" w:cs="Times New Roman"/>
          <w:b/>
          <w:u w:val="single"/>
        </w:rPr>
      </w:pPr>
    </w:p>
    <w:p w:rsidR="0009628D" w:rsidRPr="00AD20B0" w:rsidRDefault="0003338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AD20B0">
        <w:rPr>
          <w:rFonts w:ascii="Century Gothic" w:hAnsi="Century Gothic" w:cs="Times New Roman"/>
        </w:rPr>
        <w:t>Gobernabilidad</w:t>
      </w:r>
    </w:p>
    <w:p w:rsidR="0003338D" w:rsidRDefault="00AD20B0" w:rsidP="0003338D">
      <w:pPr>
        <w:pStyle w:val="Prrafodelista"/>
        <w:ind w:left="360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32865" wp14:editId="22E19A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C5E19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3338D" w:rsidRDefault="004A46ED" w:rsidP="00727B6E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instructivo</w:t>
      </w:r>
      <w:r w:rsidR="00855204">
        <w:rPr>
          <w:rFonts w:ascii="Century Gothic" w:hAnsi="Century Gothic" w:cs="Times New Roman"/>
          <w:sz w:val="20"/>
          <w:szCs w:val="20"/>
        </w:rPr>
        <w:t xml:space="preserve"> será administrado y actualizado por la Gerencia de </w:t>
      </w:r>
      <w:r w:rsidR="00160EFF">
        <w:rPr>
          <w:rFonts w:ascii="Century Gothic" w:hAnsi="Century Gothic" w:cs="Times New Roman"/>
          <w:sz w:val="20"/>
          <w:szCs w:val="20"/>
        </w:rPr>
        <w:t>General</w:t>
      </w:r>
      <w:r w:rsidR="00855204">
        <w:rPr>
          <w:rFonts w:ascii="Century Gothic" w:hAnsi="Century Gothic" w:cs="Times New Roman"/>
          <w:sz w:val="20"/>
          <w:szCs w:val="20"/>
        </w:rPr>
        <w:t xml:space="preserve"> y Gerencia </w:t>
      </w:r>
      <w:r w:rsidR="003C7DED">
        <w:rPr>
          <w:rFonts w:ascii="Century Gothic" w:hAnsi="Century Gothic" w:cs="Times New Roman"/>
          <w:sz w:val="20"/>
          <w:szCs w:val="20"/>
        </w:rPr>
        <w:t>de Contabilidad</w:t>
      </w:r>
      <w:r w:rsidR="00855204">
        <w:rPr>
          <w:rFonts w:ascii="Century Gothic" w:hAnsi="Century Gothic" w:cs="Times New Roman"/>
          <w:sz w:val="20"/>
          <w:szCs w:val="20"/>
        </w:rPr>
        <w:t xml:space="preserve"> de </w:t>
      </w:r>
      <w:r w:rsidR="003C7DED">
        <w:rPr>
          <w:rFonts w:ascii="Century Gothic" w:hAnsi="Century Gothic" w:cs="Times New Roman"/>
          <w:sz w:val="20"/>
          <w:szCs w:val="20"/>
        </w:rPr>
        <w:t xml:space="preserve">La </w:t>
      </w:r>
      <w:r w:rsidR="00855204">
        <w:rPr>
          <w:rFonts w:ascii="Century Gothic" w:hAnsi="Century Gothic" w:cs="Times New Roman"/>
          <w:sz w:val="20"/>
          <w:szCs w:val="20"/>
        </w:rPr>
        <w:t>Casa Central</w:t>
      </w:r>
      <w:r>
        <w:rPr>
          <w:rFonts w:ascii="Century Gothic" w:hAnsi="Century Gothic" w:cs="Times New Roman"/>
          <w:sz w:val="20"/>
          <w:szCs w:val="20"/>
        </w:rPr>
        <w:t>.</w:t>
      </w:r>
    </w:p>
    <w:p w:rsidR="0003338D" w:rsidRDefault="0003338D" w:rsidP="004A46ED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:rsidR="0003338D" w:rsidRDefault="0003338D" w:rsidP="0003338D">
      <w:pPr>
        <w:rPr>
          <w:rFonts w:ascii="Century Gothic" w:hAnsi="Century Gothic" w:cs="Times New Roman"/>
          <w:b/>
          <w:u w:val="single"/>
        </w:rPr>
      </w:pPr>
    </w:p>
    <w:p w:rsidR="00855204" w:rsidRDefault="00855204" w:rsidP="0003338D">
      <w:pPr>
        <w:rPr>
          <w:rFonts w:ascii="Century Gothic" w:hAnsi="Century Gothic" w:cs="Times New Roman"/>
          <w:b/>
          <w:u w:val="single"/>
        </w:rPr>
      </w:pPr>
    </w:p>
    <w:p w:rsidR="00910B51" w:rsidRDefault="00910B51" w:rsidP="0003338D">
      <w:pPr>
        <w:rPr>
          <w:rFonts w:ascii="Century Gothic" w:hAnsi="Century Gothic" w:cs="Times New Roman"/>
          <w:b/>
          <w:u w:val="single"/>
        </w:rPr>
      </w:pPr>
    </w:p>
    <w:p w:rsidR="00910B51" w:rsidRDefault="00910B51" w:rsidP="0003338D">
      <w:pPr>
        <w:rPr>
          <w:rFonts w:ascii="Century Gothic" w:hAnsi="Century Gothic" w:cs="Times New Roman"/>
          <w:b/>
          <w:u w:val="single"/>
        </w:rPr>
      </w:pPr>
    </w:p>
    <w:p w:rsidR="00910B51" w:rsidRDefault="00910B51" w:rsidP="0003338D">
      <w:pPr>
        <w:rPr>
          <w:rFonts w:ascii="Century Gothic" w:hAnsi="Century Gothic" w:cs="Times New Roman"/>
          <w:b/>
          <w:u w:val="single"/>
        </w:rPr>
      </w:pPr>
    </w:p>
    <w:p w:rsidR="00855204" w:rsidRDefault="00855204" w:rsidP="0003338D">
      <w:pPr>
        <w:rPr>
          <w:rFonts w:ascii="Century Gothic" w:hAnsi="Century Gothic" w:cs="Times New Roman"/>
          <w:b/>
          <w:u w:val="single"/>
        </w:rPr>
      </w:pPr>
    </w:p>
    <w:p w:rsidR="00855204" w:rsidRPr="0003338D" w:rsidRDefault="00855204" w:rsidP="0003338D">
      <w:pPr>
        <w:rPr>
          <w:rFonts w:ascii="Century Gothic" w:hAnsi="Century Gothic" w:cs="Times New Roman"/>
          <w:b/>
          <w:u w:val="single"/>
        </w:rPr>
      </w:pPr>
    </w:p>
    <w:p w:rsidR="0003338D" w:rsidRPr="00855204" w:rsidRDefault="00855204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 w:rsidRPr="00855204">
        <w:rPr>
          <w:rFonts w:ascii="Century Gothic" w:hAnsi="Century Gothic" w:cs="Times New Roman"/>
        </w:rPr>
        <w:t xml:space="preserve"> Rechazo Comercial</w:t>
      </w:r>
    </w:p>
    <w:p w:rsidR="0003338D" w:rsidRDefault="00855204" w:rsidP="00D06950">
      <w:pPr>
        <w:jc w:val="both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900DF" wp14:editId="42A353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AC50A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855204" w:rsidRDefault="003C7DED" w:rsidP="00D06950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La legislación vigente dispone que </w:t>
      </w:r>
      <w:r w:rsidR="00855204">
        <w:rPr>
          <w:rFonts w:ascii="Century Gothic" w:hAnsi="Century Gothic" w:cs="Times New Roman"/>
        </w:rPr>
        <w:t>la organización</w:t>
      </w:r>
      <w:r w:rsidR="00762F24">
        <w:rPr>
          <w:rFonts w:ascii="Century Gothic" w:hAnsi="Century Gothic" w:cs="Times New Roman"/>
        </w:rPr>
        <w:t xml:space="preserve"> cuente </w:t>
      </w:r>
      <w:r w:rsidR="0045469E">
        <w:rPr>
          <w:rFonts w:ascii="Century Gothic" w:hAnsi="Century Gothic" w:cs="Times New Roman"/>
        </w:rPr>
        <w:t>con 8</w:t>
      </w:r>
      <w:r w:rsidR="00855204">
        <w:rPr>
          <w:rFonts w:ascii="Century Gothic" w:hAnsi="Century Gothic" w:cs="Times New Roman"/>
        </w:rPr>
        <w:t xml:space="preserve"> </w:t>
      </w:r>
      <w:r w:rsidR="00D06950">
        <w:rPr>
          <w:rFonts w:ascii="Century Gothic" w:hAnsi="Century Gothic" w:cs="Times New Roman"/>
        </w:rPr>
        <w:t>días</w:t>
      </w:r>
      <w:r w:rsidR="00855204">
        <w:rPr>
          <w:rFonts w:ascii="Century Gothic" w:hAnsi="Century Gothic" w:cs="Times New Roman"/>
        </w:rPr>
        <w:t xml:space="preserve"> corridos para objetar un </w:t>
      </w:r>
      <w:r w:rsidR="00D06950">
        <w:rPr>
          <w:rFonts w:ascii="Century Gothic" w:hAnsi="Century Gothic" w:cs="Times New Roman"/>
        </w:rPr>
        <w:t>documento</w:t>
      </w:r>
      <w:r w:rsidR="0045469E">
        <w:rPr>
          <w:rFonts w:ascii="Century Gothic" w:hAnsi="Century Gothic" w:cs="Times New Roman"/>
        </w:rPr>
        <w:t xml:space="preserve"> tributario.</w:t>
      </w:r>
      <w:r w:rsidR="00855204">
        <w:rPr>
          <w:rFonts w:ascii="Century Gothic" w:hAnsi="Century Gothic" w:cs="Times New Roman"/>
        </w:rPr>
        <w:t xml:space="preserve"> </w:t>
      </w:r>
      <w:r w:rsidR="0045469E">
        <w:rPr>
          <w:rFonts w:ascii="Century Gothic" w:hAnsi="Century Gothic" w:cs="Times New Roman"/>
        </w:rPr>
        <w:t>A</w:t>
      </w:r>
      <w:r w:rsidR="00855204">
        <w:rPr>
          <w:rFonts w:ascii="Century Gothic" w:hAnsi="Century Gothic" w:cs="Times New Roman"/>
        </w:rPr>
        <w:t xml:space="preserve"> contar del día 9 </w:t>
      </w:r>
      <w:r w:rsidR="00D06950">
        <w:rPr>
          <w:rFonts w:ascii="Century Gothic" w:hAnsi="Century Gothic" w:cs="Times New Roman"/>
        </w:rPr>
        <w:t>quedan automáticamente aceptados</w:t>
      </w:r>
      <w:r w:rsidR="0045469E">
        <w:rPr>
          <w:rFonts w:ascii="Century Gothic" w:hAnsi="Century Gothic" w:cs="Times New Roman"/>
        </w:rPr>
        <w:t xml:space="preserve"> con los riesgos inherentes asociados</w:t>
      </w:r>
      <w:r w:rsidR="00D06950">
        <w:rPr>
          <w:rFonts w:ascii="Century Gothic" w:hAnsi="Century Gothic" w:cs="Times New Roman"/>
        </w:rPr>
        <w:t xml:space="preserve">, esto nos obliga a acelerar el proceso de contabilización. </w:t>
      </w:r>
      <w:r w:rsidR="0045469E">
        <w:rPr>
          <w:rFonts w:ascii="Century Gothic" w:hAnsi="Century Gothic" w:cs="Times New Roman"/>
        </w:rPr>
        <w:t xml:space="preserve">Por </w:t>
      </w:r>
      <w:r w:rsidR="00D06950">
        <w:rPr>
          <w:rFonts w:ascii="Century Gothic" w:hAnsi="Century Gothic" w:cs="Times New Roman"/>
        </w:rPr>
        <w:t>lo anterior</w:t>
      </w:r>
      <w:r w:rsidR="0045469E">
        <w:rPr>
          <w:rFonts w:ascii="Century Gothic" w:hAnsi="Century Gothic" w:cs="Times New Roman"/>
        </w:rPr>
        <w:t>,</w:t>
      </w:r>
      <w:r w:rsidR="00D06950">
        <w:rPr>
          <w:rFonts w:ascii="Century Gothic" w:hAnsi="Century Gothic" w:cs="Times New Roman"/>
        </w:rPr>
        <w:t xml:space="preserve"> t</w:t>
      </w:r>
      <w:r w:rsidR="00855204" w:rsidRPr="00855204">
        <w:rPr>
          <w:rFonts w:ascii="Century Gothic" w:hAnsi="Century Gothic" w:cs="Times New Roman"/>
        </w:rPr>
        <w:t xml:space="preserve">oda </w:t>
      </w:r>
      <w:r w:rsidR="0045469E">
        <w:rPr>
          <w:rFonts w:ascii="Century Gothic" w:hAnsi="Century Gothic" w:cs="Times New Roman"/>
        </w:rPr>
        <w:t xml:space="preserve">adquisición que realicen las </w:t>
      </w:r>
      <w:proofErr w:type="gramStart"/>
      <w:r w:rsidR="0045469E">
        <w:rPr>
          <w:rFonts w:ascii="Century Gothic" w:hAnsi="Century Gothic" w:cs="Times New Roman"/>
        </w:rPr>
        <w:t>empresas,</w:t>
      </w:r>
      <w:proofErr w:type="gramEnd"/>
      <w:r w:rsidR="00855204" w:rsidRPr="00855204">
        <w:rPr>
          <w:rFonts w:ascii="Century Gothic" w:hAnsi="Century Gothic" w:cs="Times New Roman"/>
        </w:rPr>
        <w:t xml:space="preserve"> </w:t>
      </w:r>
      <w:r w:rsidR="00855204" w:rsidRPr="0045469E">
        <w:rPr>
          <w:rFonts w:ascii="Century Gothic" w:hAnsi="Century Gothic" w:cs="Times New Roman"/>
          <w:b/>
          <w:u w:val="single"/>
        </w:rPr>
        <w:t>debe estar antecedida por una orden de compra</w:t>
      </w:r>
      <w:r w:rsidR="00D06950" w:rsidRPr="0045469E">
        <w:rPr>
          <w:rFonts w:ascii="Century Gothic" w:hAnsi="Century Gothic" w:cs="Times New Roman"/>
          <w:b/>
          <w:u w:val="single"/>
        </w:rPr>
        <w:t xml:space="preserve"> (en adelante OC</w:t>
      </w:r>
      <w:r w:rsidR="00D06950">
        <w:rPr>
          <w:rFonts w:ascii="Century Gothic" w:hAnsi="Century Gothic" w:cs="Times New Roman"/>
        </w:rPr>
        <w:t>)</w:t>
      </w:r>
      <w:r w:rsidR="00855204">
        <w:rPr>
          <w:rFonts w:ascii="Century Gothic" w:hAnsi="Century Gothic" w:cs="Times New Roman"/>
        </w:rPr>
        <w:t>, el número de esta debe entregarse al proveedor para la imputación en la factura.</w:t>
      </w:r>
    </w:p>
    <w:p w:rsidR="0045469E" w:rsidRPr="00855204" w:rsidRDefault="0045469E" w:rsidP="00D06950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 base de esta directriz, la política definida por la Gerencia General Corporativa es:</w:t>
      </w:r>
    </w:p>
    <w:p w:rsidR="00855204" w:rsidRDefault="00855204" w:rsidP="008A3840">
      <w:pPr>
        <w:spacing w:after="0" w:line="240" w:lineRule="auto"/>
        <w:ind w:left="720"/>
        <w:jc w:val="both"/>
        <w:rPr>
          <w:rFonts w:ascii="Arial" w:hAnsi="Arial"/>
          <w:sz w:val="20"/>
        </w:rPr>
      </w:pPr>
    </w:p>
    <w:p w:rsidR="00855204" w:rsidRPr="00D06950" w:rsidRDefault="00855204" w:rsidP="008A384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 xml:space="preserve">Las facturas de compra que </w:t>
      </w:r>
      <w:r w:rsidR="0045469E">
        <w:rPr>
          <w:rFonts w:ascii="Century Gothic" w:hAnsi="Century Gothic" w:cs="Times New Roman"/>
          <w:sz w:val="20"/>
          <w:szCs w:val="20"/>
        </w:rPr>
        <w:t>contengan</w:t>
      </w:r>
      <w:r w:rsidRPr="00D06950">
        <w:rPr>
          <w:rFonts w:ascii="Century Gothic" w:hAnsi="Century Gothic" w:cs="Times New Roman"/>
          <w:sz w:val="20"/>
          <w:szCs w:val="20"/>
        </w:rPr>
        <w:t xml:space="preserve"> </w:t>
      </w:r>
      <w:r w:rsidR="0045469E">
        <w:rPr>
          <w:rFonts w:ascii="Century Gothic" w:hAnsi="Century Gothic" w:cs="Times New Roman"/>
          <w:sz w:val="20"/>
          <w:szCs w:val="20"/>
        </w:rPr>
        <w:t xml:space="preserve">el número de la </w:t>
      </w:r>
      <w:r w:rsidR="00D06950">
        <w:rPr>
          <w:rFonts w:ascii="Century Gothic" w:hAnsi="Century Gothic" w:cs="Times New Roman"/>
          <w:sz w:val="20"/>
          <w:szCs w:val="20"/>
        </w:rPr>
        <w:t>OC</w:t>
      </w:r>
      <w:r w:rsidRPr="00D06950">
        <w:rPr>
          <w:rFonts w:ascii="Century Gothic" w:hAnsi="Century Gothic" w:cs="Times New Roman"/>
          <w:sz w:val="20"/>
          <w:szCs w:val="20"/>
        </w:rPr>
        <w:t xml:space="preserve"> quedarán automáticamente </w:t>
      </w:r>
      <w:r w:rsidRPr="00D06950">
        <w:rPr>
          <w:rFonts w:ascii="Century Gothic" w:hAnsi="Century Gothic" w:cs="Times New Roman"/>
          <w:b/>
          <w:sz w:val="20"/>
          <w:szCs w:val="20"/>
        </w:rPr>
        <w:t>pre aceptadas.</w:t>
      </w:r>
    </w:p>
    <w:p w:rsidR="00855204" w:rsidRPr="00D06950" w:rsidRDefault="00855204" w:rsidP="008A3840">
      <w:pPr>
        <w:pStyle w:val="Prrafodelista"/>
        <w:jc w:val="both"/>
        <w:rPr>
          <w:rFonts w:ascii="Century Gothic" w:hAnsi="Century Gothic" w:cs="Times New Roman"/>
          <w:sz w:val="20"/>
          <w:szCs w:val="20"/>
        </w:rPr>
      </w:pPr>
    </w:p>
    <w:p w:rsidR="00855204" w:rsidRPr="008A3840" w:rsidRDefault="00855204" w:rsidP="008A384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Las facturas de compra que no tienen el dato de la OC quedarán</w:t>
      </w:r>
      <w:r w:rsidR="0045469E">
        <w:rPr>
          <w:rFonts w:ascii="Century Gothic" w:hAnsi="Century Gothic" w:cs="Times New Roman"/>
          <w:sz w:val="20"/>
          <w:szCs w:val="20"/>
        </w:rPr>
        <w:t xml:space="preserve">     </w:t>
      </w:r>
      <w:r w:rsidRPr="00D06950">
        <w:rPr>
          <w:rFonts w:ascii="Century Gothic" w:hAnsi="Century Gothic" w:cs="Times New Roman"/>
          <w:sz w:val="20"/>
          <w:szCs w:val="20"/>
        </w:rPr>
        <w:t xml:space="preserve"> automáticamente </w:t>
      </w:r>
      <w:r w:rsidRPr="00D06950">
        <w:rPr>
          <w:rFonts w:ascii="Century Gothic" w:hAnsi="Century Gothic" w:cs="Times New Roman"/>
          <w:b/>
          <w:sz w:val="20"/>
          <w:szCs w:val="20"/>
        </w:rPr>
        <w:t>pre rechazadas.</w:t>
      </w:r>
    </w:p>
    <w:p w:rsidR="008A3840" w:rsidRDefault="008A3840" w:rsidP="008A3840">
      <w:pPr>
        <w:pStyle w:val="Prrafodelista"/>
        <w:jc w:val="both"/>
        <w:rPr>
          <w:rFonts w:ascii="Century Gothic" w:hAnsi="Century Gothic" w:cs="Times New Roman"/>
          <w:sz w:val="20"/>
          <w:szCs w:val="20"/>
        </w:rPr>
      </w:pPr>
    </w:p>
    <w:p w:rsidR="008A3840" w:rsidRPr="008A3840" w:rsidRDefault="008A3840" w:rsidP="008A384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A3840">
        <w:rPr>
          <w:rFonts w:ascii="Century Gothic" w:hAnsi="Century Gothic" w:cs="Times New Roman"/>
          <w:sz w:val="20"/>
          <w:szCs w:val="20"/>
        </w:rPr>
        <w:t xml:space="preserve">Las facturas de compra que tienen el dato de la OC </w:t>
      </w:r>
      <w:r>
        <w:rPr>
          <w:rFonts w:ascii="Century Gothic" w:hAnsi="Century Gothic" w:cs="Times New Roman"/>
          <w:sz w:val="20"/>
          <w:szCs w:val="20"/>
        </w:rPr>
        <w:t xml:space="preserve">y tal número sea inconsistente o inexistente </w:t>
      </w:r>
      <w:r w:rsidRPr="008A3840">
        <w:rPr>
          <w:rFonts w:ascii="Century Gothic" w:hAnsi="Century Gothic" w:cs="Times New Roman"/>
          <w:sz w:val="20"/>
          <w:szCs w:val="20"/>
        </w:rPr>
        <w:t xml:space="preserve">en sistema </w:t>
      </w:r>
      <w:r>
        <w:rPr>
          <w:rFonts w:ascii="Century Gothic" w:hAnsi="Century Gothic" w:cs="Times New Roman"/>
          <w:sz w:val="20"/>
          <w:szCs w:val="20"/>
        </w:rPr>
        <w:t xml:space="preserve">SAW la factura quedará automáticamente </w:t>
      </w:r>
      <w:r w:rsidRPr="008A3840">
        <w:rPr>
          <w:rFonts w:ascii="Century Gothic" w:hAnsi="Century Gothic" w:cs="Times New Roman"/>
          <w:b/>
          <w:sz w:val="20"/>
          <w:szCs w:val="20"/>
        </w:rPr>
        <w:t>pre rechazada</w:t>
      </w:r>
      <w:r>
        <w:rPr>
          <w:rFonts w:ascii="Century Gothic" w:hAnsi="Century Gothic" w:cs="Times New Roman"/>
          <w:sz w:val="20"/>
          <w:szCs w:val="20"/>
        </w:rPr>
        <w:t>.</w:t>
      </w:r>
    </w:p>
    <w:p w:rsidR="008A3840" w:rsidRPr="008A3840" w:rsidRDefault="008A3840" w:rsidP="008A3840">
      <w:pPr>
        <w:spacing w:after="0" w:line="240" w:lineRule="auto"/>
        <w:ind w:left="720"/>
        <w:jc w:val="both"/>
        <w:rPr>
          <w:rFonts w:ascii="Century Gothic" w:hAnsi="Century Gothic" w:cs="Times New Roman"/>
          <w:sz w:val="20"/>
          <w:szCs w:val="20"/>
        </w:rPr>
      </w:pPr>
    </w:p>
    <w:p w:rsidR="008A3840" w:rsidRDefault="008A3840" w:rsidP="008A384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A3840">
        <w:rPr>
          <w:rFonts w:ascii="Century Gothic" w:hAnsi="Century Gothic" w:cs="Times New Roman"/>
          <w:sz w:val="20"/>
          <w:szCs w:val="20"/>
        </w:rPr>
        <w:t xml:space="preserve">Las facturas de compra que tienen el dato de la OC y tal </w:t>
      </w:r>
      <w:r>
        <w:rPr>
          <w:rFonts w:ascii="Century Gothic" w:hAnsi="Century Gothic" w:cs="Times New Roman"/>
          <w:sz w:val="20"/>
          <w:szCs w:val="20"/>
        </w:rPr>
        <w:t xml:space="preserve">OC no tenga saldo pendiente en sistema, la factura quedará automáticamente </w:t>
      </w:r>
      <w:r w:rsidRPr="008A3840">
        <w:rPr>
          <w:rFonts w:ascii="Century Gothic" w:hAnsi="Century Gothic" w:cs="Times New Roman"/>
          <w:b/>
          <w:sz w:val="20"/>
          <w:szCs w:val="20"/>
        </w:rPr>
        <w:t>pre rechazada</w:t>
      </w:r>
      <w:r>
        <w:rPr>
          <w:rFonts w:ascii="Century Gothic" w:hAnsi="Century Gothic" w:cs="Times New Roman"/>
          <w:sz w:val="20"/>
          <w:szCs w:val="20"/>
        </w:rPr>
        <w:t>.</w:t>
      </w:r>
      <w:r w:rsidR="00F91281">
        <w:rPr>
          <w:rFonts w:ascii="Century Gothic" w:hAnsi="Century Gothic" w:cs="Times New Roman"/>
          <w:sz w:val="20"/>
          <w:szCs w:val="20"/>
        </w:rPr>
        <w:t xml:space="preserve"> (esto NO aplica </w:t>
      </w:r>
      <w:r w:rsidR="005A350B">
        <w:rPr>
          <w:rFonts w:ascii="Century Gothic" w:hAnsi="Century Gothic" w:cs="Times New Roman"/>
          <w:sz w:val="20"/>
          <w:szCs w:val="20"/>
        </w:rPr>
        <w:t xml:space="preserve">para </w:t>
      </w:r>
      <w:r w:rsidR="005A350B" w:rsidRPr="005A350B">
        <w:rPr>
          <w:rFonts w:ascii="Century Gothic" w:hAnsi="Century Gothic" w:cs="Times New Roman"/>
          <w:sz w:val="20"/>
          <w:szCs w:val="20"/>
        </w:rPr>
        <w:t>Constructora FG SPA</w:t>
      </w:r>
      <w:r w:rsidR="005A350B">
        <w:rPr>
          <w:rFonts w:ascii="Century Gothic" w:hAnsi="Century Gothic" w:cs="Times New Roman"/>
          <w:sz w:val="20"/>
          <w:szCs w:val="20"/>
        </w:rPr>
        <w:t xml:space="preserve"> y </w:t>
      </w:r>
      <w:r w:rsidR="005A350B" w:rsidRPr="005A350B">
        <w:rPr>
          <w:rFonts w:ascii="Century Gothic" w:hAnsi="Century Gothic" w:cs="Times New Roman"/>
          <w:sz w:val="20"/>
          <w:szCs w:val="20"/>
        </w:rPr>
        <w:t>Consorcio Constructora FG &amp; C SPA</w:t>
      </w:r>
      <w:r w:rsidR="00F91281">
        <w:rPr>
          <w:rFonts w:ascii="Century Gothic" w:hAnsi="Century Gothic" w:cs="Times New Roman"/>
          <w:sz w:val="20"/>
          <w:szCs w:val="20"/>
        </w:rPr>
        <w:t>)</w:t>
      </w:r>
    </w:p>
    <w:p w:rsidR="008A3840" w:rsidRDefault="008A3840" w:rsidP="002A435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A435F" w:rsidRDefault="008A3840" w:rsidP="008A384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A3840">
        <w:rPr>
          <w:rFonts w:ascii="Century Gothic" w:hAnsi="Century Gothic" w:cs="Times New Roman"/>
          <w:sz w:val="20"/>
          <w:szCs w:val="20"/>
        </w:rPr>
        <w:t xml:space="preserve">Las facturas de compra que tienen el dato de la OC y tal </w:t>
      </w:r>
      <w:r>
        <w:rPr>
          <w:rFonts w:ascii="Century Gothic" w:hAnsi="Century Gothic" w:cs="Times New Roman"/>
          <w:sz w:val="20"/>
          <w:szCs w:val="20"/>
        </w:rPr>
        <w:t xml:space="preserve">OC esté rechazada </w:t>
      </w:r>
      <w:r w:rsidR="003D6142">
        <w:rPr>
          <w:rFonts w:ascii="Century Gothic" w:hAnsi="Century Gothic" w:cs="Times New Roman"/>
          <w:sz w:val="20"/>
          <w:szCs w:val="20"/>
        </w:rPr>
        <w:t xml:space="preserve">o por </w:t>
      </w:r>
    </w:p>
    <w:p w:rsidR="008A3840" w:rsidRDefault="003D6142" w:rsidP="002A435F">
      <w:pPr>
        <w:spacing w:after="0" w:line="240" w:lineRule="auto"/>
        <w:ind w:left="7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aprobar </w:t>
      </w:r>
      <w:r w:rsidR="008A3840">
        <w:rPr>
          <w:rFonts w:ascii="Century Gothic" w:hAnsi="Century Gothic" w:cs="Times New Roman"/>
          <w:sz w:val="20"/>
          <w:szCs w:val="20"/>
        </w:rPr>
        <w:t xml:space="preserve">en sistema, la factura quedará automáticamente </w:t>
      </w:r>
      <w:r w:rsidR="008A3840" w:rsidRPr="008A3840">
        <w:rPr>
          <w:rFonts w:ascii="Century Gothic" w:hAnsi="Century Gothic" w:cs="Times New Roman"/>
          <w:b/>
          <w:sz w:val="20"/>
          <w:szCs w:val="20"/>
        </w:rPr>
        <w:t>pre rechazada</w:t>
      </w:r>
      <w:r w:rsidR="008A3840">
        <w:rPr>
          <w:rFonts w:ascii="Century Gothic" w:hAnsi="Century Gothic" w:cs="Times New Roman"/>
          <w:sz w:val="20"/>
          <w:szCs w:val="20"/>
        </w:rPr>
        <w:t>.</w:t>
      </w:r>
    </w:p>
    <w:p w:rsidR="002A435F" w:rsidRDefault="002A435F" w:rsidP="002A435F">
      <w:pPr>
        <w:spacing w:after="0" w:line="240" w:lineRule="auto"/>
        <w:ind w:left="720"/>
        <w:jc w:val="both"/>
        <w:rPr>
          <w:rFonts w:ascii="Century Gothic" w:hAnsi="Century Gothic" w:cs="Times New Roman"/>
          <w:sz w:val="20"/>
          <w:szCs w:val="20"/>
        </w:rPr>
      </w:pPr>
    </w:p>
    <w:p w:rsidR="00F8545C" w:rsidRDefault="002A435F" w:rsidP="00F8545C">
      <w:pPr>
        <w:pStyle w:val="Prrafodelista"/>
        <w:numPr>
          <w:ilvl w:val="0"/>
          <w:numId w:val="6"/>
        </w:numPr>
        <w:jc w:val="both"/>
        <w:rPr>
          <w:rFonts w:ascii="Century Gothic" w:hAnsi="Century Gothic" w:cs="Times New Roman"/>
          <w:sz w:val="20"/>
          <w:szCs w:val="20"/>
        </w:rPr>
      </w:pPr>
      <w:r w:rsidRPr="007E5CB8">
        <w:rPr>
          <w:rFonts w:ascii="Century Gothic" w:hAnsi="Century Gothic" w:cs="Times New Roman"/>
          <w:sz w:val="20"/>
          <w:szCs w:val="20"/>
        </w:rPr>
        <w:t xml:space="preserve">Las facturas de compra que contengan la dirección de la empresa mal emitida, la factura quedará automáticamente </w:t>
      </w:r>
      <w:r w:rsidRPr="007E5CB8">
        <w:rPr>
          <w:rFonts w:ascii="Century Gothic" w:hAnsi="Century Gothic" w:cs="Times New Roman"/>
          <w:b/>
          <w:sz w:val="20"/>
          <w:szCs w:val="20"/>
        </w:rPr>
        <w:t>pre rechazada</w:t>
      </w:r>
      <w:r w:rsidRPr="007E5CB8">
        <w:rPr>
          <w:rFonts w:ascii="Century Gothic" w:hAnsi="Century Gothic" w:cs="Times New Roman"/>
          <w:sz w:val="20"/>
          <w:szCs w:val="20"/>
        </w:rPr>
        <w:t>.</w:t>
      </w:r>
    </w:p>
    <w:p w:rsidR="00F91281" w:rsidRPr="00F91281" w:rsidRDefault="00F91281" w:rsidP="00F91281">
      <w:pPr>
        <w:pStyle w:val="Prrafodelista"/>
        <w:jc w:val="both"/>
        <w:rPr>
          <w:rFonts w:ascii="Century Gothic" w:hAnsi="Century Gothic" w:cs="Times New Roman"/>
          <w:sz w:val="20"/>
          <w:szCs w:val="20"/>
        </w:rPr>
      </w:pPr>
    </w:p>
    <w:p w:rsidR="00855204" w:rsidRDefault="00C43921" w:rsidP="00855204">
      <w:pPr>
        <w:pStyle w:val="Prrafodelista"/>
        <w:numPr>
          <w:ilvl w:val="0"/>
          <w:numId w:val="6"/>
        </w:num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Las facturas de compra </w:t>
      </w:r>
      <w:r w:rsidR="005A350B">
        <w:rPr>
          <w:rFonts w:ascii="Century Gothic" w:hAnsi="Century Gothic" w:cs="Times New Roman"/>
          <w:sz w:val="20"/>
          <w:szCs w:val="20"/>
        </w:rPr>
        <w:t xml:space="preserve">de </w:t>
      </w:r>
      <w:r w:rsidR="005A350B" w:rsidRPr="005A350B">
        <w:rPr>
          <w:rFonts w:ascii="Century Gothic" w:hAnsi="Century Gothic" w:cs="Times New Roman"/>
          <w:sz w:val="20"/>
          <w:szCs w:val="20"/>
        </w:rPr>
        <w:t>Constructora FG SPA</w:t>
      </w:r>
      <w:r w:rsidR="005A350B">
        <w:rPr>
          <w:rFonts w:ascii="Century Gothic" w:hAnsi="Century Gothic" w:cs="Times New Roman"/>
          <w:sz w:val="20"/>
          <w:szCs w:val="20"/>
        </w:rPr>
        <w:t xml:space="preserve"> y </w:t>
      </w:r>
      <w:r w:rsidR="005A350B" w:rsidRPr="005A350B">
        <w:rPr>
          <w:rFonts w:ascii="Century Gothic" w:hAnsi="Century Gothic" w:cs="Times New Roman"/>
          <w:sz w:val="20"/>
          <w:szCs w:val="20"/>
        </w:rPr>
        <w:t>Consorcio Constructora FG &amp; C SPA</w:t>
      </w:r>
      <w:r w:rsidR="00F91281">
        <w:rPr>
          <w:rFonts w:ascii="Century Gothic" w:hAnsi="Century Gothic" w:cs="Times New Roman"/>
          <w:sz w:val="20"/>
          <w:szCs w:val="20"/>
        </w:rPr>
        <w:t xml:space="preserve"> que tienen el dato de la OC se debe realizar la recepción dentro de los 7 días</w:t>
      </w:r>
      <w:r w:rsidR="005A350B">
        <w:rPr>
          <w:rFonts w:ascii="Century Gothic" w:hAnsi="Century Gothic" w:cs="Times New Roman"/>
          <w:sz w:val="20"/>
          <w:szCs w:val="20"/>
        </w:rPr>
        <w:t xml:space="preserve"> a partir de la fecha de recepció</w:t>
      </w:r>
      <w:r w:rsidR="00D60F0B">
        <w:rPr>
          <w:rFonts w:ascii="Century Gothic" w:hAnsi="Century Gothic" w:cs="Times New Roman"/>
          <w:sz w:val="20"/>
          <w:szCs w:val="20"/>
        </w:rPr>
        <w:t>n del DTE en el SII</w:t>
      </w:r>
      <w:r w:rsidR="00F91281">
        <w:rPr>
          <w:rFonts w:ascii="Century Gothic" w:hAnsi="Century Gothic" w:cs="Times New Roman"/>
          <w:sz w:val="20"/>
          <w:szCs w:val="20"/>
        </w:rPr>
        <w:t xml:space="preserve">, si no al 8 día este documento será </w:t>
      </w:r>
      <w:r w:rsidR="00F91281" w:rsidRPr="007E5CB8">
        <w:rPr>
          <w:rFonts w:ascii="Century Gothic" w:hAnsi="Century Gothic" w:cs="Times New Roman"/>
          <w:b/>
          <w:sz w:val="20"/>
          <w:szCs w:val="20"/>
        </w:rPr>
        <w:t>rechazad</w:t>
      </w:r>
      <w:r w:rsidR="005A350B">
        <w:rPr>
          <w:rFonts w:ascii="Century Gothic" w:hAnsi="Century Gothic" w:cs="Times New Roman"/>
          <w:b/>
          <w:sz w:val="20"/>
          <w:szCs w:val="20"/>
        </w:rPr>
        <w:t>o</w:t>
      </w:r>
      <w:r w:rsidR="00F91281" w:rsidRPr="007E5CB8">
        <w:rPr>
          <w:rFonts w:ascii="Century Gothic" w:hAnsi="Century Gothic" w:cs="Times New Roman"/>
          <w:sz w:val="20"/>
          <w:szCs w:val="20"/>
        </w:rPr>
        <w:t>.</w:t>
      </w:r>
    </w:p>
    <w:p w:rsidR="00F91281" w:rsidRPr="00F91281" w:rsidRDefault="00F91281" w:rsidP="00F91281">
      <w:pPr>
        <w:jc w:val="both"/>
        <w:rPr>
          <w:rFonts w:ascii="Century Gothic" w:hAnsi="Century Gothic" w:cs="Times New Roman"/>
          <w:sz w:val="20"/>
          <w:szCs w:val="20"/>
        </w:rPr>
      </w:pPr>
    </w:p>
    <w:p w:rsidR="0045469E" w:rsidRPr="0092146F" w:rsidRDefault="0092146F" w:rsidP="008A3840">
      <w:pPr>
        <w:jc w:val="both"/>
        <w:rPr>
          <w:rFonts w:ascii="Century Gothic" w:hAnsi="Century Gothic" w:cs="Times New Roman"/>
          <w:i/>
          <w:sz w:val="20"/>
          <w:szCs w:val="20"/>
        </w:rPr>
      </w:pPr>
      <w:r>
        <w:rPr>
          <w:rFonts w:ascii="Century Gothic" w:hAnsi="Century Gothic" w:cs="Times New Roman"/>
          <w:i/>
          <w:sz w:val="20"/>
          <w:szCs w:val="20"/>
        </w:rPr>
        <w:t xml:space="preserve">* </w:t>
      </w:r>
      <w:r w:rsidR="0045469E" w:rsidRPr="0092146F">
        <w:rPr>
          <w:rFonts w:ascii="Century Gothic" w:hAnsi="Century Gothic" w:cs="Times New Roman"/>
          <w:i/>
          <w:sz w:val="20"/>
          <w:szCs w:val="20"/>
        </w:rPr>
        <w:t xml:space="preserve">El dato de la orden de compra deberá de preferencia </w:t>
      </w:r>
      <w:r w:rsidRPr="0092146F">
        <w:rPr>
          <w:rFonts w:ascii="Century Gothic" w:hAnsi="Century Gothic" w:cs="Times New Roman"/>
          <w:i/>
          <w:sz w:val="20"/>
          <w:szCs w:val="20"/>
        </w:rPr>
        <w:t>individualizarse</w:t>
      </w:r>
      <w:r w:rsidR="0045469E" w:rsidRPr="0092146F">
        <w:rPr>
          <w:rFonts w:ascii="Century Gothic" w:hAnsi="Century Gothic" w:cs="Times New Roman"/>
          <w:i/>
          <w:sz w:val="20"/>
          <w:szCs w:val="20"/>
        </w:rPr>
        <w:t xml:space="preserve"> en l</w:t>
      </w:r>
      <w:r w:rsidRPr="0092146F">
        <w:rPr>
          <w:rFonts w:ascii="Century Gothic" w:hAnsi="Century Gothic" w:cs="Times New Roman"/>
          <w:i/>
          <w:sz w:val="20"/>
          <w:szCs w:val="20"/>
        </w:rPr>
        <w:t>a grilla correspondiente, en caso de no poder el proveedor podrán identificarla en la glosa</w:t>
      </w:r>
      <w:r w:rsidR="008A3840">
        <w:rPr>
          <w:rFonts w:ascii="Century Gothic" w:hAnsi="Century Gothic" w:cs="Times New Roman"/>
          <w:i/>
          <w:sz w:val="20"/>
          <w:szCs w:val="20"/>
        </w:rPr>
        <w:t xml:space="preserve"> descriptiva de la factura, </w:t>
      </w:r>
      <w:r w:rsidR="008A3840" w:rsidRPr="0092146F">
        <w:rPr>
          <w:rFonts w:ascii="Century Gothic" w:hAnsi="Century Gothic" w:cs="Times New Roman"/>
          <w:i/>
          <w:sz w:val="20"/>
          <w:szCs w:val="20"/>
        </w:rPr>
        <w:t>lo</w:t>
      </w:r>
      <w:r w:rsidRPr="0092146F">
        <w:rPr>
          <w:rFonts w:ascii="Century Gothic" w:hAnsi="Century Gothic" w:cs="Times New Roman"/>
          <w:i/>
          <w:sz w:val="20"/>
          <w:szCs w:val="20"/>
        </w:rPr>
        <w:t xml:space="preserve"> cual también es válido.</w:t>
      </w:r>
    </w:p>
    <w:p w:rsidR="0045469E" w:rsidRPr="00D06950" w:rsidRDefault="0045469E" w:rsidP="00855204">
      <w:pPr>
        <w:rPr>
          <w:rFonts w:ascii="Arial" w:hAnsi="Arial"/>
          <w:sz w:val="20"/>
        </w:rPr>
      </w:pPr>
    </w:p>
    <w:p w:rsidR="00855204" w:rsidRPr="00D06950" w:rsidRDefault="00D06950" w:rsidP="00855204">
      <w:pPr>
        <w:rPr>
          <w:rFonts w:ascii="Century Gothic" w:hAnsi="Century Gothic" w:cs="Times New Roman"/>
        </w:rPr>
      </w:pPr>
      <w:r w:rsidRPr="00D06950">
        <w:rPr>
          <w:rFonts w:ascii="Century Gothic" w:hAnsi="Century Gothic" w:cs="Times New Roman"/>
        </w:rPr>
        <w:t>5.1 Facturas</w:t>
      </w:r>
      <w:r w:rsidR="00855204" w:rsidRPr="00D06950">
        <w:rPr>
          <w:rFonts w:ascii="Century Gothic" w:hAnsi="Century Gothic" w:cs="Times New Roman"/>
        </w:rPr>
        <w:t xml:space="preserve"> Pre Aceptadas.</w:t>
      </w:r>
    </w:p>
    <w:p w:rsidR="00855204" w:rsidRPr="00D06950" w:rsidRDefault="00D06950" w:rsidP="00855204">
      <w:pPr>
        <w:pStyle w:val="Prrafodelista"/>
        <w:numPr>
          <w:ilvl w:val="0"/>
          <w:numId w:val="7"/>
        </w:numPr>
        <w:ind w:left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Se bajan de </w:t>
      </w:r>
      <w:proofErr w:type="spellStart"/>
      <w:r>
        <w:rPr>
          <w:rFonts w:ascii="Century Gothic" w:hAnsi="Century Gothic" w:cs="Times New Roman"/>
          <w:sz w:val="20"/>
          <w:szCs w:val="20"/>
        </w:rPr>
        <w:t>Saw</w:t>
      </w:r>
      <w:proofErr w:type="spellEnd"/>
      <w:r>
        <w:rPr>
          <w:rFonts w:ascii="Century Gothic" w:hAnsi="Century Gothic" w:cs="Times New Roman"/>
          <w:sz w:val="20"/>
          <w:szCs w:val="20"/>
        </w:rPr>
        <w:t xml:space="preserve">, </w:t>
      </w:r>
      <w:r w:rsidR="00855204" w:rsidRPr="00D06950">
        <w:rPr>
          <w:rFonts w:ascii="Century Gothic" w:hAnsi="Century Gothic" w:cs="Times New Roman"/>
          <w:sz w:val="20"/>
          <w:szCs w:val="20"/>
        </w:rPr>
        <w:t>Se timbran</w:t>
      </w:r>
      <w:r>
        <w:rPr>
          <w:rFonts w:ascii="Century Gothic" w:hAnsi="Century Gothic" w:cs="Times New Roman"/>
          <w:sz w:val="20"/>
          <w:szCs w:val="20"/>
        </w:rPr>
        <w:t>, fechan</w:t>
      </w:r>
      <w:r w:rsidR="00855204" w:rsidRPr="00D06950">
        <w:rPr>
          <w:rFonts w:ascii="Century Gothic" w:hAnsi="Century Gothic" w:cs="Times New Roman"/>
          <w:sz w:val="20"/>
          <w:szCs w:val="20"/>
        </w:rPr>
        <w:t xml:space="preserve"> y pasan a adqu</w:t>
      </w:r>
      <w:r>
        <w:rPr>
          <w:rFonts w:ascii="Century Gothic" w:hAnsi="Century Gothic" w:cs="Times New Roman"/>
          <w:sz w:val="20"/>
          <w:szCs w:val="20"/>
        </w:rPr>
        <w:t>isiciones.</w:t>
      </w:r>
    </w:p>
    <w:p w:rsidR="00855204" w:rsidRPr="00D06950" w:rsidRDefault="00855204" w:rsidP="00855204">
      <w:pPr>
        <w:pStyle w:val="Prrafodelista"/>
        <w:rPr>
          <w:rFonts w:ascii="Century Gothic" w:hAnsi="Century Gothic" w:cs="Times New Roman"/>
          <w:sz w:val="20"/>
          <w:szCs w:val="20"/>
        </w:rPr>
      </w:pPr>
    </w:p>
    <w:p w:rsidR="00855204" w:rsidRPr="00D06950" w:rsidRDefault="00D06950" w:rsidP="00D06950">
      <w:pPr>
        <w:pStyle w:val="Prrafodelista"/>
        <w:numPr>
          <w:ilvl w:val="0"/>
          <w:numId w:val="7"/>
        </w:numPr>
        <w:ind w:left="72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Adquisiciones al</w:t>
      </w:r>
      <w:r w:rsidR="00855204" w:rsidRPr="00D06950">
        <w:rPr>
          <w:rFonts w:ascii="Century Gothic" w:hAnsi="Century Gothic" w:cs="Times New Roman"/>
          <w:sz w:val="20"/>
          <w:szCs w:val="20"/>
        </w:rPr>
        <w:t xml:space="preserve"> momento de ligar verificará que la OC esté correcta en su recepción y vistos buenos, cualquier anomalía como por ejemplo que el número de </w:t>
      </w:r>
      <w:r>
        <w:rPr>
          <w:rFonts w:ascii="Century Gothic" w:hAnsi="Century Gothic" w:cs="Times New Roman"/>
          <w:sz w:val="20"/>
          <w:szCs w:val="20"/>
        </w:rPr>
        <w:t>OC</w:t>
      </w:r>
      <w:r w:rsidR="00855204" w:rsidRPr="00D06950">
        <w:rPr>
          <w:rFonts w:ascii="Century Gothic" w:hAnsi="Century Gothic" w:cs="Times New Roman"/>
          <w:sz w:val="20"/>
          <w:szCs w:val="20"/>
        </w:rPr>
        <w:t xml:space="preserve"> no exista o </w:t>
      </w:r>
      <w:r>
        <w:rPr>
          <w:rFonts w:ascii="Century Gothic" w:hAnsi="Century Gothic" w:cs="Times New Roman"/>
          <w:sz w:val="20"/>
          <w:szCs w:val="20"/>
        </w:rPr>
        <w:t xml:space="preserve">los recursos </w:t>
      </w:r>
      <w:r w:rsidR="00855204" w:rsidRPr="00D06950">
        <w:rPr>
          <w:rFonts w:ascii="Century Gothic" w:hAnsi="Century Gothic" w:cs="Times New Roman"/>
          <w:sz w:val="20"/>
          <w:szCs w:val="20"/>
        </w:rPr>
        <w:t>ya se encuentre</w:t>
      </w:r>
      <w:r>
        <w:rPr>
          <w:rFonts w:ascii="Century Gothic" w:hAnsi="Century Gothic" w:cs="Times New Roman"/>
          <w:sz w:val="20"/>
          <w:szCs w:val="20"/>
        </w:rPr>
        <w:t xml:space="preserve">n consumidos </w:t>
      </w:r>
      <w:r w:rsidR="00855204" w:rsidRPr="00D06950">
        <w:rPr>
          <w:rFonts w:ascii="Century Gothic" w:hAnsi="Century Gothic" w:cs="Times New Roman"/>
          <w:b/>
          <w:sz w:val="20"/>
          <w:szCs w:val="20"/>
        </w:rPr>
        <w:t>provocará el rechazo comercial del documento.</w:t>
      </w:r>
    </w:p>
    <w:p w:rsidR="00855204" w:rsidRPr="00D06950" w:rsidRDefault="00855204" w:rsidP="00855204">
      <w:pPr>
        <w:pStyle w:val="Prrafodelista"/>
        <w:rPr>
          <w:rFonts w:ascii="Century Gothic" w:hAnsi="Century Gothic" w:cs="Times New Roman"/>
          <w:sz w:val="20"/>
          <w:szCs w:val="20"/>
        </w:rPr>
      </w:pPr>
    </w:p>
    <w:p w:rsidR="00855204" w:rsidRPr="00D06950" w:rsidRDefault="00D06950" w:rsidP="00855204">
      <w:pPr>
        <w:pStyle w:val="Prrafodelista"/>
        <w:numPr>
          <w:ilvl w:val="0"/>
          <w:numId w:val="7"/>
        </w:numPr>
        <w:ind w:left="72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Las excepciones a los rechazos comerciales son:</w:t>
      </w:r>
    </w:p>
    <w:p w:rsidR="00D06950" w:rsidRDefault="00D06950" w:rsidP="00D06950">
      <w:pPr>
        <w:pStyle w:val="Prrafodelista"/>
        <w:ind w:left="1440"/>
        <w:rPr>
          <w:rFonts w:ascii="Century Gothic" w:hAnsi="Century Gothic" w:cs="Times New Roman"/>
          <w:sz w:val="20"/>
          <w:szCs w:val="20"/>
        </w:rPr>
      </w:pPr>
    </w:p>
    <w:p w:rsidR="009A706F" w:rsidRDefault="009A706F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Empresas Relacionadas o Asociadas.</w:t>
      </w:r>
    </w:p>
    <w:p w:rsidR="00855204" w:rsidRPr="00D06950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Agua</w:t>
      </w:r>
    </w:p>
    <w:p w:rsidR="00855204" w:rsidRPr="00D06950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Bancos</w:t>
      </w:r>
    </w:p>
    <w:p w:rsidR="00855204" w:rsidRPr="00D06950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Luz</w:t>
      </w:r>
    </w:p>
    <w:p w:rsidR="00855204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Teléfono</w:t>
      </w:r>
    </w:p>
    <w:p w:rsidR="00EF7282" w:rsidRPr="00D06950" w:rsidRDefault="00EF7282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proofErr w:type="spellStart"/>
      <w:r>
        <w:rPr>
          <w:rFonts w:ascii="Century Gothic" w:hAnsi="Century Gothic" w:cs="Times New Roman"/>
          <w:sz w:val="20"/>
          <w:szCs w:val="20"/>
        </w:rPr>
        <w:t>Iconstruye</w:t>
      </w:r>
      <w:proofErr w:type="spellEnd"/>
    </w:p>
    <w:p w:rsidR="00855204" w:rsidRPr="00D06950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Auditores</w:t>
      </w:r>
    </w:p>
    <w:p w:rsidR="00855204" w:rsidRPr="00D06950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Abogados</w:t>
      </w:r>
    </w:p>
    <w:p w:rsidR="00855204" w:rsidRPr="00D06950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ADT (En este caso se informará a los responsables de las distintas Unidades de Negocio)</w:t>
      </w:r>
    </w:p>
    <w:p w:rsidR="00855204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Autopistas</w:t>
      </w:r>
    </w:p>
    <w:p w:rsidR="0067178A" w:rsidRDefault="0067178A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67178A">
        <w:rPr>
          <w:rFonts w:ascii="Century Gothic" w:hAnsi="Century Gothic" w:cs="Times New Roman"/>
          <w:sz w:val="20"/>
          <w:szCs w:val="20"/>
        </w:rPr>
        <w:t xml:space="preserve">transportes </w:t>
      </w:r>
      <w:proofErr w:type="spellStart"/>
      <w:r w:rsidRPr="0067178A">
        <w:rPr>
          <w:rFonts w:ascii="Century Gothic" w:hAnsi="Century Gothic" w:cs="Times New Roman"/>
          <w:sz w:val="20"/>
          <w:szCs w:val="20"/>
        </w:rPr>
        <w:t>schuftan</w:t>
      </w:r>
      <w:proofErr w:type="spellEnd"/>
    </w:p>
    <w:p w:rsidR="0067178A" w:rsidRPr="0067178A" w:rsidRDefault="008A3840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Alimentación de colaboradores de la empresa</w:t>
      </w:r>
    </w:p>
    <w:p w:rsidR="00845F02" w:rsidRDefault="00845F02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Universidad de Chile</w:t>
      </w:r>
    </w:p>
    <w:p w:rsidR="0041726B" w:rsidRDefault="0041726B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FDD S.A. (Almuerzos)</w:t>
      </w:r>
    </w:p>
    <w:p w:rsidR="00845F02" w:rsidRPr="00D06950" w:rsidRDefault="00845F02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proofErr w:type="spellStart"/>
      <w:r>
        <w:rPr>
          <w:rFonts w:ascii="Century Gothic" w:hAnsi="Century Gothic" w:cs="Times New Roman"/>
          <w:sz w:val="20"/>
          <w:szCs w:val="20"/>
        </w:rPr>
        <w:t>Incity</w:t>
      </w:r>
      <w:proofErr w:type="spellEnd"/>
      <w:r>
        <w:rPr>
          <w:rFonts w:ascii="Century Gothic" w:hAnsi="Century Gothic" w:cs="Times New Roman"/>
          <w:sz w:val="20"/>
          <w:szCs w:val="20"/>
        </w:rPr>
        <w:t xml:space="preserve"> </w:t>
      </w:r>
    </w:p>
    <w:p w:rsidR="00855204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Dimacofi</w:t>
      </w:r>
    </w:p>
    <w:p w:rsidR="00EA065E" w:rsidRDefault="00EA065E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Meli Inversiones</w:t>
      </w:r>
    </w:p>
    <w:p w:rsidR="00D5056A" w:rsidRDefault="00D5056A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proofErr w:type="spellStart"/>
      <w:r>
        <w:rPr>
          <w:rFonts w:ascii="Century Gothic" w:hAnsi="Century Gothic" w:cs="Times New Roman"/>
          <w:sz w:val="20"/>
          <w:szCs w:val="20"/>
        </w:rPr>
        <w:t>Verisure</w:t>
      </w:r>
      <w:proofErr w:type="spellEnd"/>
      <w:r>
        <w:rPr>
          <w:rFonts w:ascii="Century Gothic" w:hAnsi="Century Gothic" w:cs="Times New Roman"/>
          <w:sz w:val="20"/>
          <w:szCs w:val="20"/>
        </w:rPr>
        <w:t xml:space="preserve"> (Arriendo de Alarmas)</w:t>
      </w:r>
    </w:p>
    <w:p w:rsidR="007D6417" w:rsidRPr="00D06950" w:rsidRDefault="007D6417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Pasajes Aéreos</w:t>
      </w:r>
    </w:p>
    <w:p w:rsidR="00855204" w:rsidRPr="00D06950" w:rsidRDefault="00855204" w:rsidP="0067178A">
      <w:pPr>
        <w:pStyle w:val="Prrafodelista"/>
        <w:numPr>
          <w:ilvl w:val="1"/>
          <w:numId w:val="9"/>
        </w:numPr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Seguros, los cuales separamos en:</w:t>
      </w:r>
    </w:p>
    <w:p w:rsidR="00855204" w:rsidRPr="00D06950" w:rsidRDefault="00855204" w:rsidP="00855204">
      <w:pPr>
        <w:pStyle w:val="Prrafodelista"/>
        <w:ind w:left="15"/>
        <w:rPr>
          <w:rFonts w:ascii="Century Gothic" w:hAnsi="Century Gothic" w:cs="Times New Roman"/>
          <w:sz w:val="20"/>
          <w:szCs w:val="20"/>
        </w:rPr>
      </w:pPr>
    </w:p>
    <w:p w:rsidR="00855204" w:rsidRPr="00D06950" w:rsidRDefault="00855204" w:rsidP="00855204">
      <w:pPr>
        <w:pStyle w:val="Prrafodelista"/>
        <w:numPr>
          <w:ilvl w:val="2"/>
          <w:numId w:val="7"/>
        </w:numPr>
        <w:ind w:left="2160"/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 xml:space="preserve">Responsabilidad Civil, </w:t>
      </w:r>
      <w:r w:rsidRPr="00D06950">
        <w:rPr>
          <w:rFonts w:ascii="Century Gothic" w:hAnsi="Century Gothic" w:cs="Times New Roman"/>
          <w:b/>
          <w:sz w:val="20"/>
          <w:szCs w:val="20"/>
        </w:rPr>
        <w:t>Casa central realizará OC</w:t>
      </w:r>
    </w:p>
    <w:p w:rsidR="00855204" w:rsidRPr="00D06950" w:rsidRDefault="00855204" w:rsidP="00855204">
      <w:pPr>
        <w:pStyle w:val="Prrafodelista"/>
        <w:numPr>
          <w:ilvl w:val="2"/>
          <w:numId w:val="7"/>
        </w:numPr>
        <w:ind w:left="2160"/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 xml:space="preserve">Accidentes Personales, </w:t>
      </w:r>
      <w:r w:rsidRPr="00D06950">
        <w:rPr>
          <w:rFonts w:ascii="Century Gothic" w:hAnsi="Century Gothic" w:cs="Times New Roman"/>
          <w:b/>
          <w:sz w:val="20"/>
          <w:szCs w:val="20"/>
        </w:rPr>
        <w:t>Casa central realizará OC</w:t>
      </w:r>
    </w:p>
    <w:p w:rsidR="00855204" w:rsidRPr="00D06950" w:rsidRDefault="00855204" w:rsidP="00855204">
      <w:pPr>
        <w:pStyle w:val="Prrafodelista"/>
        <w:numPr>
          <w:ilvl w:val="2"/>
          <w:numId w:val="7"/>
        </w:numPr>
        <w:ind w:left="2160"/>
        <w:rPr>
          <w:rFonts w:ascii="Century Gothic" w:hAnsi="Century Gothic" w:cs="Times New Roman"/>
          <w:sz w:val="20"/>
          <w:szCs w:val="20"/>
        </w:rPr>
      </w:pPr>
      <w:r w:rsidRPr="00D06950">
        <w:rPr>
          <w:rFonts w:ascii="Century Gothic" w:hAnsi="Century Gothic" w:cs="Times New Roman"/>
          <w:sz w:val="20"/>
          <w:szCs w:val="20"/>
        </w:rPr>
        <w:t>Riesgo de la Construcción, por número de póliza o proveedor informaremos a l</w:t>
      </w:r>
      <w:r w:rsidR="00845F02">
        <w:rPr>
          <w:rFonts w:ascii="Century Gothic" w:hAnsi="Century Gothic" w:cs="Times New Roman"/>
          <w:sz w:val="20"/>
          <w:szCs w:val="20"/>
        </w:rPr>
        <w:t>os responsables</w:t>
      </w:r>
      <w:r w:rsidRPr="00D06950">
        <w:rPr>
          <w:rFonts w:ascii="Century Gothic" w:hAnsi="Century Gothic" w:cs="Times New Roman"/>
          <w:sz w:val="20"/>
          <w:szCs w:val="20"/>
        </w:rPr>
        <w:t xml:space="preserve"> para la emisión.</w:t>
      </w:r>
    </w:p>
    <w:p w:rsidR="00845F02" w:rsidRPr="00D06950" w:rsidRDefault="00845F02" w:rsidP="00855204">
      <w:pPr>
        <w:rPr>
          <w:rFonts w:ascii="Century Gothic" w:hAnsi="Century Gothic" w:cs="Times New Roman"/>
          <w:sz w:val="20"/>
          <w:szCs w:val="20"/>
        </w:rPr>
      </w:pPr>
    </w:p>
    <w:p w:rsidR="00855204" w:rsidRPr="00D06950" w:rsidRDefault="00845F02" w:rsidP="00845F02">
      <w:pPr>
        <w:pStyle w:val="Prrafodelista"/>
        <w:numPr>
          <w:ilvl w:val="1"/>
          <w:numId w:val="7"/>
        </w:numPr>
        <w:ind w:left="1440"/>
        <w:jc w:val="both"/>
        <w:rPr>
          <w:rFonts w:ascii="Century Gothic" w:hAnsi="Century Gothic" w:cs="Times New Roman"/>
          <w:sz w:val="20"/>
          <w:szCs w:val="20"/>
        </w:rPr>
      </w:pPr>
      <w:proofErr w:type="spellStart"/>
      <w:r w:rsidRPr="00845F02">
        <w:rPr>
          <w:rFonts w:ascii="Century Gothic" w:hAnsi="Century Gothic" w:cs="Times New Roman"/>
          <w:i/>
          <w:sz w:val="20"/>
          <w:szCs w:val="20"/>
        </w:rPr>
        <w:t>V°B°</w:t>
      </w:r>
      <w:proofErr w:type="spellEnd"/>
      <w:r w:rsidRPr="00845F02">
        <w:rPr>
          <w:rFonts w:ascii="Century Gothic" w:hAnsi="Century Gothic" w:cs="Times New Roman"/>
          <w:i/>
          <w:sz w:val="20"/>
          <w:szCs w:val="20"/>
        </w:rPr>
        <w:t xml:space="preserve">: Toda OC realizada en casa central por las distintas empresas </w:t>
      </w:r>
      <w:r w:rsidR="00855204" w:rsidRPr="00845F02">
        <w:rPr>
          <w:rFonts w:ascii="Century Gothic" w:hAnsi="Century Gothic" w:cs="Times New Roman"/>
          <w:i/>
          <w:sz w:val="20"/>
          <w:szCs w:val="20"/>
        </w:rPr>
        <w:t xml:space="preserve">será autorizada por </w:t>
      </w:r>
      <w:r w:rsidRPr="00845F02">
        <w:rPr>
          <w:rFonts w:ascii="Century Gothic" w:hAnsi="Century Gothic" w:cs="Times New Roman"/>
          <w:i/>
          <w:sz w:val="20"/>
          <w:szCs w:val="20"/>
        </w:rPr>
        <w:t xml:space="preserve">el Gerente General </w:t>
      </w:r>
      <w:r w:rsidR="00855204" w:rsidRPr="00845F02">
        <w:rPr>
          <w:rFonts w:ascii="Century Gothic" w:hAnsi="Century Gothic" w:cs="Times New Roman"/>
          <w:i/>
          <w:sz w:val="20"/>
          <w:szCs w:val="20"/>
        </w:rPr>
        <w:t xml:space="preserve">y </w:t>
      </w:r>
      <w:r w:rsidRPr="00845F02">
        <w:rPr>
          <w:rFonts w:ascii="Century Gothic" w:hAnsi="Century Gothic" w:cs="Times New Roman"/>
          <w:i/>
          <w:sz w:val="20"/>
          <w:szCs w:val="20"/>
        </w:rPr>
        <w:t>Gerente de Administración</w:t>
      </w:r>
      <w:r w:rsidR="00855204" w:rsidRPr="00845F02">
        <w:rPr>
          <w:rFonts w:ascii="Century Gothic" w:hAnsi="Century Gothic" w:cs="Times New Roman"/>
          <w:i/>
          <w:sz w:val="20"/>
          <w:szCs w:val="20"/>
        </w:rPr>
        <w:t xml:space="preserve">, por ausencia o fuerza mayor como </w:t>
      </w:r>
      <w:proofErr w:type="spellStart"/>
      <w:r w:rsidR="00855204" w:rsidRPr="00845F02">
        <w:rPr>
          <w:rFonts w:ascii="Century Gothic" w:hAnsi="Century Gothic" w:cs="Times New Roman"/>
          <w:i/>
          <w:sz w:val="20"/>
          <w:szCs w:val="20"/>
        </w:rPr>
        <w:t>backup</w:t>
      </w:r>
      <w:proofErr w:type="spellEnd"/>
      <w:r w:rsidR="00855204" w:rsidRPr="00845F02">
        <w:rPr>
          <w:rFonts w:ascii="Century Gothic" w:hAnsi="Century Gothic" w:cs="Times New Roman"/>
          <w:i/>
          <w:sz w:val="20"/>
          <w:szCs w:val="20"/>
        </w:rPr>
        <w:t xml:space="preserve"> actuará </w:t>
      </w:r>
      <w:r w:rsidR="0092146F">
        <w:rPr>
          <w:rFonts w:ascii="Century Gothic" w:hAnsi="Century Gothic" w:cs="Times New Roman"/>
          <w:i/>
          <w:sz w:val="20"/>
          <w:szCs w:val="20"/>
        </w:rPr>
        <w:t>la Gerencia de Contabilidad</w:t>
      </w:r>
      <w:r w:rsidR="00855204" w:rsidRPr="00845F02">
        <w:rPr>
          <w:rFonts w:ascii="Century Gothic" w:hAnsi="Century Gothic" w:cs="Times New Roman"/>
          <w:i/>
          <w:sz w:val="20"/>
          <w:szCs w:val="20"/>
        </w:rPr>
        <w:t>. Ante lo anterior, se recomienda dejarlas “abiertas” o sin una asignación particular</w:t>
      </w:r>
      <w:r w:rsidR="00855204" w:rsidRPr="00D06950">
        <w:rPr>
          <w:rFonts w:ascii="Century Gothic" w:hAnsi="Century Gothic" w:cs="Times New Roman"/>
          <w:sz w:val="20"/>
          <w:szCs w:val="20"/>
        </w:rPr>
        <w:t>.</w:t>
      </w:r>
    </w:p>
    <w:p w:rsidR="00855204" w:rsidRPr="00D06950" w:rsidRDefault="00855204" w:rsidP="00855204">
      <w:pPr>
        <w:rPr>
          <w:rFonts w:ascii="Century Gothic" w:hAnsi="Century Gothic" w:cs="Times New Roman"/>
          <w:sz w:val="20"/>
          <w:szCs w:val="20"/>
        </w:rPr>
      </w:pPr>
    </w:p>
    <w:p w:rsidR="00845F02" w:rsidRPr="00D06950" w:rsidRDefault="00845F02" w:rsidP="00845F02">
      <w:pPr>
        <w:rPr>
          <w:rFonts w:ascii="Century Gothic" w:hAnsi="Century Gothic" w:cs="Times New Roman"/>
        </w:rPr>
      </w:pPr>
      <w:r w:rsidRPr="00D06950">
        <w:rPr>
          <w:rFonts w:ascii="Century Gothic" w:hAnsi="Century Gothic" w:cs="Times New Roman"/>
        </w:rPr>
        <w:t>5.</w:t>
      </w:r>
      <w:r>
        <w:rPr>
          <w:rFonts w:ascii="Century Gothic" w:hAnsi="Century Gothic" w:cs="Times New Roman"/>
        </w:rPr>
        <w:t>2</w:t>
      </w:r>
      <w:r w:rsidRPr="00D06950">
        <w:rPr>
          <w:rFonts w:ascii="Century Gothic" w:hAnsi="Century Gothic" w:cs="Times New Roman"/>
        </w:rPr>
        <w:t xml:space="preserve"> Facturas Pre </w:t>
      </w:r>
      <w:r>
        <w:rPr>
          <w:rFonts w:ascii="Century Gothic" w:hAnsi="Century Gothic" w:cs="Times New Roman"/>
        </w:rPr>
        <w:t>Rechazadas</w:t>
      </w:r>
      <w:r w:rsidRPr="00D06950">
        <w:rPr>
          <w:rFonts w:ascii="Century Gothic" w:hAnsi="Century Gothic" w:cs="Times New Roman"/>
        </w:rPr>
        <w:t>.</w:t>
      </w:r>
    </w:p>
    <w:p w:rsidR="00855204" w:rsidRDefault="00855204" w:rsidP="00763B41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45F02">
        <w:rPr>
          <w:rFonts w:ascii="Century Gothic" w:hAnsi="Century Gothic" w:cs="Times New Roman"/>
          <w:sz w:val="20"/>
          <w:szCs w:val="20"/>
        </w:rPr>
        <w:t xml:space="preserve">Verificaremos aquellas que tengan </w:t>
      </w:r>
      <w:r w:rsidR="0092146F">
        <w:rPr>
          <w:rFonts w:ascii="Century Gothic" w:hAnsi="Century Gothic" w:cs="Times New Roman"/>
          <w:sz w:val="20"/>
          <w:szCs w:val="20"/>
        </w:rPr>
        <w:t>forma de pago</w:t>
      </w:r>
      <w:r w:rsidRPr="00845F02">
        <w:rPr>
          <w:rFonts w:ascii="Century Gothic" w:hAnsi="Century Gothic" w:cs="Times New Roman"/>
          <w:sz w:val="20"/>
          <w:szCs w:val="20"/>
        </w:rPr>
        <w:t xml:space="preserve"> “contado” debido a esta condición no podrán ser rechazadas</w:t>
      </w:r>
      <w:r w:rsidR="00763B41">
        <w:rPr>
          <w:rFonts w:ascii="Century Gothic" w:hAnsi="Century Gothic" w:cs="Times New Roman"/>
          <w:sz w:val="20"/>
          <w:szCs w:val="20"/>
        </w:rPr>
        <w:t>,</w:t>
      </w:r>
      <w:r w:rsidRPr="00845F02">
        <w:rPr>
          <w:rFonts w:ascii="Century Gothic" w:hAnsi="Century Gothic" w:cs="Times New Roman"/>
          <w:sz w:val="20"/>
          <w:szCs w:val="20"/>
        </w:rPr>
        <w:t xml:space="preserve"> </w:t>
      </w:r>
      <w:r w:rsidR="00763B41">
        <w:rPr>
          <w:rFonts w:ascii="Century Gothic" w:hAnsi="Century Gothic" w:cs="Times New Roman"/>
          <w:sz w:val="20"/>
          <w:szCs w:val="20"/>
        </w:rPr>
        <w:t>notificaremos los responsables de las unidades de negocio correspondiente para su regularización.</w:t>
      </w:r>
    </w:p>
    <w:p w:rsidR="00845F02" w:rsidRPr="00845F02" w:rsidRDefault="00845F02" w:rsidP="00763B41">
      <w:pPr>
        <w:spacing w:after="0" w:line="240" w:lineRule="auto"/>
        <w:ind w:left="720"/>
        <w:jc w:val="both"/>
        <w:rPr>
          <w:rFonts w:ascii="Century Gothic" w:hAnsi="Century Gothic" w:cs="Times New Roman"/>
          <w:sz w:val="20"/>
          <w:szCs w:val="20"/>
        </w:rPr>
      </w:pPr>
    </w:p>
    <w:p w:rsidR="00855204" w:rsidRDefault="00855204" w:rsidP="00763B41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45F02">
        <w:rPr>
          <w:rFonts w:ascii="Century Gothic" w:hAnsi="Century Gothic" w:cs="Times New Roman"/>
          <w:sz w:val="20"/>
          <w:szCs w:val="20"/>
        </w:rPr>
        <w:t xml:space="preserve">Verificaremos aquellas que la experiencia nos diga que son de resorte de una caja chica </w:t>
      </w:r>
      <w:r w:rsidR="00763B41" w:rsidRPr="00845F02">
        <w:rPr>
          <w:rFonts w:ascii="Century Gothic" w:hAnsi="Century Gothic" w:cs="Times New Roman"/>
          <w:sz w:val="20"/>
          <w:szCs w:val="20"/>
        </w:rPr>
        <w:t>como,</w:t>
      </w:r>
      <w:r w:rsidR="00763B41">
        <w:rPr>
          <w:rFonts w:ascii="Century Gothic" w:hAnsi="Century Gothic" w:cs="Times New Roman"/>
          <w:sz w:val="20"/>
          <w:szCs w:val="20"/>
        </w:rPr>
        <w:t xml:space="preserve"> por ejemplo</w:t>
      </w:r>
      <w:r w:rsidRPr="00845F02">
        <w:rPr>
          <w:rFonts w:ascii="Century Gothic" w:hAnsi="Century Gothic" w:cs="Times New Roman"/>
          <w:sz w:val="20"/>
          <w:szCs w:val="20"/>
        </w:rPr>
        <w:t>, hoteles y restaurantes.</w:t>
      </w:r>
    </w:p>
    <w:p w:rsidR="00845F02" w:rsidRDefault="00845F02" w:rsidP="00763B41">
      <w:pPr>
        <w:pStyle w:val="Prrafodelista"/>
        <w:jc w:val="both"/>
        <w:rPr>
          <w:rFonts w:ascii="Century Gothic" w:hAnsi="Century Gothic" w:cs="Times New Roman"/>
          <w:sz w:val="20"/>
          <w:szCs w:val="20"/>
        </w:rPr>
      </w:pPr>
    </w:p>
    <w:p w:rsidR="00855204" w:rsidRDefault="00763B41" w:rsidP="00763B41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rechazo será supervisado por auditoría interna</w:t>
      </w:r>
      <w:r w:rsidR="00855204" w:rsidRPr="00845F02">
        <w:rPr>
          <w:rFonts w:ascii="Century Gothic" w:hAnsi="Century Gothic" w:cs="Times New Roman"/>
          <w:sz w:val="20"/>
          <w:szCs w:val="20"/>
        </w:rPr>
        <w:t xml:space="preserve">, </w:t>
      </w:r>
      <w:r>
        <w:rPr>
          <w:rFonts w:ascii="Century Gothic" w:hAnsi="Century Gothic" w:cs="Times New Roman"/>
          <w:sz w:val="20"/>
          <w:szCs w:val="20"/>
        </w:rPr>
        <w:t xml:space="preserve">quien tomará contacto con los responsables y notificará situación </w:t>
      </w:r>
      <w:r w:rsidR="00095DD4">
        <w:rPr>
          <w:rFonts w:ascii="Century Gothic" w:hAnsi="Century Gothic" w:cs="Times New Roman"/>
          <w:sz w:val="20"/>
          <w:szCs w:val="20"/>
        </w:rPr>
        <w:t>adicionalmente</w:t>
      </w:r>
      <w:r>
        <w:rPr>
          <w:rFonts w:ascii="Century Gothic" w:hAnsi="Century Gothic" w:cs="Times New Roman"/>
          <w:sz w:val="20"/>
          <w:szCs w:val="20"/>
        </w:rPr>
        <w:t xml:space="preserve"> se informa que todo rechazo comercial </w:t>
      </w:r>
      <w:r w:rsidR="00095DD4">
        <w:rPr>
          <w:rFonts w:ascii="Century Gothic" w:hAnsi="Century Gothic" w:cs="Times New Roman"/>
          <w:sz w:val="20"/>
          <w:szCs w:val="20"/>
        </w:rPr>
        <w:t>conlleva una solicitud de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095DD4">
        <w:rPr>
          <w:rFonts w:ascii="Century Gothic" w:hAnsi="Century Gothic" w:cs="Times New Roman"/>
          <w:b/>
          <w:sz w:val="20"/>
          <w:szCs w:val="20"/>
        </w:rPr>
        <w:t>nota de crédito y nueva factura.</w:t>
      </w:r>
    </w:p>
    <w:p w:rsidR="00855204" w:rsidRDefault="00855204" w:rsidP="00855204">
      <w:pPr>
        <w:rPr>
          <w:rFonts w:ascii="Arial" w:hAnsi="Arial"/>
          <w:sz w:val="20"/>
        </w:rPr>
      </w:pPr>
    </w:p>
    <w:p w:rsidR="00855204" w:rsidRDefault="00095DD4" w:rsidP="00855204">
      <w:pPr>
        <w:rPr>
          <w:rFonts w:ascii="Arial" w:hAnsi="Arial"/>
          <w:b/>
          <w:sz w:val="20"/>
        </w:rPr>
      </w:pPr>
      <w:r w:rsidRPr="00D06950">
        <w:rPr>
          <w:rFonts w:ascii="Century Gothic" w:hAnsi="Century Gothic" w:cs="Times New Roman"/>
        </w:rPr>
        <w:t>5.</w:t>
      </w:r>
      <w:r>
        <w:rPr>
          <w:rFonts w:ascii="Century Gothic" w:hAnsi="Century Gothic" w:cs="Times New Roman"/>
        </w:rPr>
        <w:t xml:space="preserve">2 </w:t>
      </w:r>
      <w:r w:rsidR="00855204" w:rsidRPr="00095DD4">
        <w:rPr>
          <w:rFonts w:ascii="Century Gothic" w:hAnsi="Century Gothic" w:cs="Times New Roman"/>
        </w:rPr>
        <w:t>Facturas En Conciliación</w:t>
      </w:r>
      <w:r w:rsidR="00845F02" w:rsidRPr="00095DD4">
        <w:rPr>
          <w:rFonts w:ascii="Century Gothic" w:hAnsi="Century Gothic" w:cs="Times New Roman"/>
        </w:rPr>
        <w:t xml:space="preserve"> y facturas sin Costo.</w:t>
      </w:r>
    </w:p>
    <w:p w:rsidR="00095DD4" w:rsidRPr="00095DD4" w:rsidRDefault="00855204" w:rsidP="00995142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95DD4">
        <w:rPr>
          <w:rFonts w:ascii="Century Gothic" w:hAnsi="Century Gothic" w:cs="Times New Roman"/>
          <w:sz w:val="20"/>
          <w:szCs w:val="20"/>
        </w:rPr>
        <w:t>Cualquier registro que figure en “Conciliación”</w:t>
      </w:r>
      <w:r w:rsidR="00095DD4" w:rsidRPr="00095DD4">
        <w:rPr>
          <w:rFonts w:ascii="Century Gothic" w:hAnsi="Century Gothic" w:cs="Times New Roman"/>
          <w:sz w:val="20"/>
          <w:szCs w:val="20"/>
        </w:rPr>
        <w:t xml:space="preserve"> (Estado de </w:t>
      </w:r>
      <w:proofErr w:type="spellStart"/>
      <w:r w:rsidR="00095DD4" w:rsidRPr="00095DD4">
        <w:rPr>
          <w:rFonts w:ascii="Century Gothic" w:hAnsi="Century Gothic" w:cs="Times New Roman"/>
          <w:sz w:val="20"/>
          <w:szCs w:val="20"/>
        </w:rPr>
        <w:t>Iconstruye</w:t>
      </w:r>
      <w:proofErr w:type="spellEnd"/>
      <w:r w:rsidR="00095DD4" w:rsidRPr="00095DD4">
        <w:rPr>
          <w:rFonts w:ascii="Century Gothic" w:hAnsi="Century Gothic" w:cs="Times New Roman"/>
          <w:sz w:val="20"/>
          <w:szCs w:val="20"/>
        </w:rPr>
        <w:t xml:space="preserve"> que impide la descarga a SAW), en forma diaria</w:t>
      </w:r>
      <w:r w:rsidR="00095DD4">
        <w:rPr>
          <w:rFonts w:ascii="Century Gothic" w:hAnsi="Century Gothic" w:cs="Times New Roman"/>
          <w:sz w:val="20"/>
          <w:szCs w:val="20"/>
        </w:rPr>
        <w:t xml:space="preserve"> será informada a las distintas unidades de negocio </w:t>
      </w:r>
      <w:r w:rsidR="00995142">
        <w:rPr>
          <w:rFonts w:ascii="Century Gothic" w:hAnsi="Century Gothic" w:cs="Times New Roman"/>
          <w:sz w:val="20"/>
          <w:szCs w:val="20"/>
        </w:rPr>
        <w:t>para que se tome contacto con el proveedor y reenvíe documento.</w:t>
      </w:r>
    </w:p>
    <w:p w:rsidR="00855204" w:rsidRPr="00095DD4" w:rsidRDefault="00995142" w:rsidP="1BD40F71">
      <w:pPr>
        <w:spacing w:after="0" w:line="240" w:lineRule="auto"/>
        <w:ind w:left="360"/>
        <w:rPr>
          <w:rFonts w:ascii="Century Gothic" w:hAnsi="Century Gothic" w:cs="Times New Roman"/>
          <w:sz w:val="20"/>
          <w:szCs w:val="20"/>
        </w:rPr>
      </w:pPr>
      <w:r w:rsidRPr="1BD40F71">
        <w:rPr>
          <w:rFonts w:ascii="Century Gothic" w:hAnsi="Century Gothic" w:cs="Times New Roman"/>
          <w:sz w:val="20"/>
          <w:szCs w:val="20"/>
        </w:rPr>
        <w:t>Facturas sin Costo (facturas asociadas a regalos o promociones) serán eliminadas del sistema, se les dará la condición de no incluir en SII y se archivarán como respaldo.</w:t>
      </w:r>
    </w:p>
    <w:p w:rsidR="000F3B33" w:rsidRDefault="000F3B33" w:rsidP="000F3B33">
      <w:pPr>
        <w:pStyle w:val="Prrafodelista"/>
        <w:ind w:left="360"/>
        <w:rPr>
          <w:rFonts w:ascii="Century Gothic" w:hAnsi="Century Gothic" w:cs="Times New Roman"/>
        </w:rPr>
      </w:pPr>
    </w:p>
    <w:p w:rsidR="000F3B33" w:rsidRDefault="000F3B33" w:rsidP="000F3B33">
      <w:pPr>
        <w:pStyle w:val="Prrafodelista"/>
        <w:ind w:left="360"/>
        <w:rPr>
          <w:rFonts w:ascii="Century Gothic" w:hAnsi="Century Gothic" w:cs="Times New Roman"/>
        </w:rPr>
      </w:pPr>
    </w:p>
    <w:p w:rsidR="000F3B33" w:rsidRDefault="00995142" w:rsidP="00995142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Compras asociadas a Fondos </w:t>
      </w:r>
      <w:r w:rsidR="00C3060B">
        <w:rPr>
          <w:rFonts w:ascii="Century Gothic" w:hAnsi="Century Gothic" w:cs="Times New Roman"/>
        </w:rPr>
        <w:t>P</w:t>
      </w:r>
      <w:r>
        <w:rPr>
          <w:rFonts w:ascii="Century Gothic" w:hAnsi="Century Gothic" w:cs="Times New Roman"/>
        </w:rPr>
        <w:t>or rendir y Cajas Chicas</w:t>
      </w:r>
      <w:r w:rsidR="000F3B33">
        <w:rPr>
          <w:rFonts w:ascii="Century Gothic" w:hAnsi="Century Gothic" w:cs="Times New Roman"/>
        </w:rPr>
        <w:t xml:space="preserve"> </w:t>
      </w:r>
    </w:p>
    <w:p w:rsidR="000F3B33" w:rsidRDefault="000F3B33" w:rsidP="000F3B33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</w:t>
      </w:r>
      <w:r w:rsidRPr="000F3B33">
        <w:rPr>
          <w:rFonts w:ascii="Century Gothic" w:hAnsi="Century Gothic" w:cs="Times New Roman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Evitar Rechazo Comercial</w:t>
      </w:r>
    </w:p>
    <w:p w:rsidR="00995142" w:rsidRDefault="00995142" w:rsidP="000F3B33">
      <w:pPr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A382B" wp14:editId="19098F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1867F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95142" w:rsidRDefault="000F3B33" w:rsidP="000F3B33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Dado que el proceso </w:t>
      </w:r>
      <w:r w:rsidR="00CE1812">
        <w:rPr>
          <w:rFonts w:ascii="Century Gothic" w:hAnsi="Century Gothic" w:cs="Times New Roman"/>
          <w:sz w:val="20"/>
          <w:szCs w:val="20"/>
        </w:rPr>
        <w:t xml:space="preserve">de </w:t>
      </w:r>
      <w:r>
        <w:rPr>
          <w:rFonts w:ascii="Century Gothic" w:hAnsi="Century Gothic" w:cs="Times New Roman"/>
          <w:sz w:val="20"/>
          <w:szCs w:val="20"/>
        </w:rPr>
        <w:t xml:space="preserve">emisión y recepción del documento tributario es en tiempo real, toda </w:t>
      </w:r>
      <w:r w:rsidR="00995142">
        <w:rPr>
          <w:rFonts w:ascii="Century Gothic" w:hAnsi="Century Gothic" w:cs="Times New Roman"/>
          <w:sz w:val="20"/>
          <w:szCs w:val="20"/>
        </w:rPr>
        <w:t xml:space="preserve">factura </w:t>
      </w:r>
      <w:r>
        <w:rPr>
          <w:rFonts w:ascii="Century Gothic" w:hAnsi="Century Gothic" w:cs="Times New Roman"/>
          <w:sz w:val="20"/>
          <w:szCs w:val="20"/>
        </w:rPr>
        <w:t xml:space="preserve">que provenga de una compra con fondos propios o fondos por </w:t>
      </w:r>
      <w:proofErr w:type="gramStart"/>
      <w:r>
        <w:rPr>
          <w:rFonts w:ascii="Century Gothic" w:hAnsi="Century Gothic" w:cs="Times New Roman"/>
          <w:sz w:val="20"/>
          <w:szCs w:val="20"/>
        </w:rPr>
        <w:t>rendir,</w:t>
      </w:r>
      <w:proofErr w:type="gramEnd"/>
      <w:r>
        <w:rPr>
          <w:rFonts w:ascii="Century Gothic" w:hAnsi="Century Gothic" w:cs="Times New Roman"/>
          <w:sz w:val="20"/>
          <w:szCs w:val="20"/>
        </w:rPr>
        <w:t xml:space="preserve"> </w:t>
      </w:r>
      <w:r w:rsidR="00995142">
        <w:rPr>
          <w:rFonts w:ascii="Century Gothic" w:hAnsi="Century Gothic" w:cs="Times New Roman"/>
          <w:sz w:val="20"/>
          <w:szCs w:val="20"/>
        </w:rPr>
        <w:t>debe ser informada a Casa Centra</w:t>
      </w:r>
      <w:r>
        <w:rPr>
          <w:rFonts w:ascii="Century Gothic" w:hAnsi="Century Gothic" w:cs="Times New Roman"/>
          <w:sz w:val="20"/>
          <w:szCs w:val="20"/>
        </w:rPr>
        <w:t>l durante el transcurso de la jornada que se realizó la compra, con su respectiva OC para iniciar proceso de Bloqueo de Pago, Ligue y contabilización, la canalización d</w:t>
      </w:r>
      <w:r w:rsidR="004E7E76">
        <w:rPr>
          <w:rFonts w:ascii="Century Gothic" w:hAnsi="Century Gothic" w:cs="Times New Roman"/>
          <w:sz w:val="20"/>
          <w:szCs w:val="20"/>
        </w:rPr>
        <w:t>e la información deber al</w:t>
      </w:r>
      <w:r w:rsidR="00995142">
        <w:rPr>
          <w:rFonts w:ascii="Century Gothic" w:hAnsi="Century Gothic" w:cs="Times New Roman"/>
          <w:sz w:val="20"/>
          <w:szCs w:val="20"/>
        </w:rPr>
        <w:t xml:space="preserve"> siguiente mail:</w:t>
      </w:r>
    </w:p>
    <w:p w:rsidR="00995142" w:rsidRDefault="00995142" w:rsidP="00995142">
      <w:pPr>
        <w:spacing w:after="0" w:line="240" w:lineRule="auto"/>
        <w:ind w:left="720"/>
        <w:rPr>
          <w:rFonts w:ascii="Century Gothic" w:hAnsi="Century Gothic" w:cs="Times New Roman"/>
          <w:sz w:val="20"/>
          <w:szCs w:val="20"/>
        </w:rPr>
      </w:pPr>
    </w:p>
    <w:p w:rsidR="004E7E76" w:rsidRPr="004E7E76" w:rsidRDefault="00EF7282" w:rsidP="004E7E76">
      <w:pPr>
        <w:pStyle w:val="Prrafodelista"/>
        <w:numPr>
          <w:ilvl w:val="0"/>
          <w:numId w:val="8"/>
        </w:numPr>
        <w:rPr>
          <w:rFonts w:ascii="Calibri" w:hAnsi="Calibri"/>
          <w:b/>
          <w:color w:val="1F4E79" w:themeColor="accent1" w:themeShade="80"/>
        </w:rPr>
      </w:pPr>
      <w:r>
        <w:rPr>
          <w:rFonts w:ascii="Calibri" w:hAnsi="Calibri"/>
          <w:b/>
          <w:color w:val="1F4E79" w:themeColor="accent1" w:themeShade="80"/>
        </w:rPr>
        <w:t>Ode@viviendas2000.com</w:t>
      </w:r>
    </w:p>
    <w:p w:rsidR="004E7E76" w:rsidRDefault="004E7E76" w:rsidP="004E7E76">
      <w:pPr>
        <w:spacing w:after="0" w:line="240" w:lineRule="auto"/>
        <w:ind w:left="1440"/>
        <w:rPr>
          <w:rFonts w:ascii="Century Gothic" w:hAnsi="Century Gothic" w:cs="Times New Roman"/>
          <w:sz w:val="20"/>
          <w:szCs w:val="20"/>
        </w:rPr>
      </w:pPr>
    </w:p>
    <w:p w:rsidR="00995142" w:rsidRPr="004E7E76" w:rsidRDefault="00995142" w:rsidP="006147E3">
      <w:pPr>
        <w:numPr>
          <w:ilvl w:val="1"/>
          <w:numId w:val="8"/>
        </w:num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4E7E76">
        <w:rPr>
          <w:rFonts w:ascii="Century Gothic" w:hAnsi="Century Gothic" w:cs="Times New Roman"/>
          <w:sz w:val="20"/>
          <w:szCs w:val="20"/>
        </w:rPr>
        <w:t>quien bloqueará el pago de la factura con ello se mitiga</w:t>
      </w:r>
      <w:r w:rsidR="004E7E76">
        <w:rPr>
          <w:rFonts w:ascii="Century Gothic" w:hAnsi="Century Gothic" w:cs="Times New Roman"/>
          <w:sz w:val="20"/>
          <w:szCs w:val="20"/>
        </w:rPr>
        <w:t xml:space="preserve"> el riesgo de un pago duplicado y</w:t>
      </w:r>
      <w:r w:rsidRPr="004E7E76">
        <w:rPr>
          <w:rFonts w:ascii="Century Gothic" w:hAnsi="Century Gothic" w:cs="Times New Roman"/>
          <w:sz w:val="20"/>
          <w:szCs w:val="20"/>
        </w:rPr>
        <w:t xml:space="preserve"> no rechazarán documento.</w:t>
      </w:r>
    </w:p>
    <w:p w:rsidR="000F3B33" w:rsidRPr="00095DD4" w:rsidRDefault="000F3B33" w:rsidP="000F3B33">
      <w:pPr>
        <w:spacing w:after="0" w:line="240" w:lineRule="auto"/>
        <w:ind w:left="1440"/>
        <w:rPr>
          <w:rFonts w:ascii="Century Gothic" w:hAnsi="Century Gothic" w:cs="Times New Roman"/>
          <w:sz w:val="20"/>
          <w:szCs w:val="20"/>
        </w:rPr>
      </w:pPr>
    </w:p>
    <w:p w:rsidR="0003338D" w:rsidRDefault="0003338D" w:rsidP="0003338D">
      <w:pPr>
        <w:rPr>
          <w:rFonts w:ascii="Century Gothic" w:hAnsi="Century Gothic" w:cs="Times New Roman"/>
          <w:b/>
          <w:u w:val="single"/>
        </w:rPr>
      </w:pPr>
    </w:p>
    <w:p w:rsidR="00BE4149" w:rsidRPr="00AD367D" w:rsidRDefault="00AD367D" w:rsidP="00AD367D">
      <w:pPr>
        <w:pStyle w:val="Prrafodelista"/>
        <w:numPr>
          <w:ilvl w:val="0"/>
          <w:numId w:val="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AD367D">
        <w:rPr>
          <w:rFonts w:ascii="Century Gothic" w:hAnsi="Century Gothic" w:cs="Times New Roman"/>
          <w:sz w:val="20"/>
          <w:szCs w:val="20"/>
        </w:rPr>
        <w:t>Esta será la única forma de evitar que las facturas por compras con caja Chica y/o Fondo por rendir que no indique número de OC sean rechazadas comercialmente.</w:t>
      </w:r>
    </w:p>
    <w:p w:rsidR="008F0925" w:rsidRDefault="008F0925" w:rsidP="008F0925">
      <w:pPr>
        <w:rPr>
          <w:rFonts w:ascii="Arial" w:hAnsi="Arial"/>
          <w:sz w:val="20"/>
        </w:rPr>
      </w:pPr>
    </w:p>
    <w:p w:rsidR="008F0925" w:rsidRDefault="008F0925" w:rsidP="008F0925">
      <w:pPr>
        <w:rPr>
          <w:rFonts w:ascii="Century Gothic" w:hAnsi="Century Gothic" w:cs="Times New Roman"/>
          <w:b/>
          <w:u w:val="single"/>
        </w:rPr>
      </w:pPr>
    </w:p>
    <w:p w:rsidR="008F0925" w:rsidRPr="00855204" w:rsidRDefault="008F0925" w:rsidP="008F0925">
      <w:pPr>
        <w:pStyle w:val="Prrafodelista"/>
        <w:numPr>
          <w:ilvl w:val="0"/>
          <w:numId w:val="4"/>
        </w:num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Control de Cambios</w:t>
      </w:r>
    </w:p>
    <w:p w:rsidR="0003338D" w:rsidRPr="008A3840" w:rsidRDefault="008F0925" w:rsidP="008F0925">
      <w:pPr>
        <w:jc w:val="both"/>
        <w:rPr>
          <w:rFonts w:ascii="Century Gothic" w:hAnsi="Century Gothic" w:cs="Times New Roman"/>
          <w:b/>
          <w:sz w:val="16"/>
          <w:szCs w:val="16"/>
          <w:u w:val="single"/>
        </w:rPr>
      </w:pPr>
      <w:r w:rsidRPr="008A3840">
        <w:rPr>
          <w:rFonts w:ascii="Century Gothic" w:hAnsi="Century Gothic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5BA97" wp14:editId="2293EA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862C1" id="Conector recto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"/>
        <w:tblW w:w="8738" w:type="dxa"/>
        <w:tblLook w:val="04A0" w:firstRow="1" w:lastRow="0" w:firstColumn="1" w:lastColumn="0" w:noHBand="0" w:noVBand="1"/>
      </w:tblPr>
      <w:tblGrid>
        <w:gridCol w:w="806"/>
        <w:gridCol w:w="1439"/>
        <w:gridCol w:w="2868"/>
        <w:gridCol w:w="1107"/>
        <w:gridCol w:w="2518"/>
      </w:tblGrid>
      <w:tr w:rsidR="00BD062A" w:rsidRPr="008A3840" w:rsidTr="008F0925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:rsidR="0003338D" w:rsidRPr="008A3840" w:rsidRDefault="0003338D" w:rsidP="00BD062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Versión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:rsidR="0003338D" w:rsidRPr="008A3840" w:rsidRDefault="0003338D" w:rsidP="00BD062A">
            <w:pPr>
              <w:jc w:val="center"/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Punto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:rsidR="0003338D" w:rsidRPr="008A3840" w:rsidRDefault="0003338D" w:rsidP="00BD062A">
            <w:pPr>
              <w:jc w:val="center"/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Cambio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:rsidR="0003338D" w:rsidRPr="008A3840" w:rsidRDefault="0003338D" w:rsidP="00BD062A">
            <w:pPr>
              <w:jc w:val="center"/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:rsidR="0003338D" w:rsidRPr="008A3840" w:rsidRDefault="0003338D" w:rsidP="00BD062A">
            <w:pPr>
              <w:jc w:val="center"/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Responsable</w:t>
            </w:r>
          </w:p>
        </w:tc>
      </w:tr>
      <w:tr w:rsidR="00BD062A" w:rsidRPr="008A3840" w:rsidTr="008F0925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BD062A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V1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BD062A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BD062A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N/A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BD062A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10/11/2017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BD062A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Juan Suazo/S. Garrido</w:t>
            </w:r>
          </w:p>
        </w:tc>
      </w:tr>
      <w:tr w:rsidR="00BD062A" w:rsidRPr="008A3840" w:rsidTr="008F0925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EF7282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V2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EF7282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Sin 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EF7282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Agrega Proveedores</w:t>
            </w:r>
            <w:r w:rsidR="008A3840">
              <w:rPr>
                <w:rFonts w:ascii="Century Gothic" w:hAnsi="Century Gothic" w:cs="Times New Roman"/>
                <w:sz w:val="16"/>
                <w:szCs w:val="16"/>
              </w:rPr>
              <w:t xml:space="preserve"> (Meli)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EF7282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04/04/2018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EF7282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S. Garrido</w:t>
            </w:r>
          </w:p>
        </w:tc>
      </w:tr>
      <w:tr w:rsidR="00BD062A" w:rsidRPr="008A3840" w:rsidTr="008F0925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8A3840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V3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8A3840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8A3840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Agrega reglas de rechazo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8A3840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03/08/2018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03338D" w:rsidRPr="008A3840" w:rsidRDefault="008A3840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S.</w:t>
            </w:r>
            <w:r>
              <w:rPr>
                <w:rFonts w:ascii="Century Gothic" w:hAnsi="Century Gothic" w:cs="Times New Roman"/>
                <w:sz w:val="16"/>
                <w:szCs w:val="16"/>
              </w:rPr>
              <w:t xml:space="preserve"> </w:t>
            </w:r>
            <w:r w:rsidRPr="008A3840">
              <w:rPr>
                <w:rFonts w:ascii="Century Gothic" w:hAnsi="Century Gothic" w:cs="Times New Roman"/>
                <w:sz w:val="16"/>
                <w:szCs w:val="16"/>
              </w:rPr>
              <w:t>Garrido</w:t>
            </w:r>
          </w:p>
        </w:tc>
      </w:tr>
      <w:tr w:rsidR="007B71A4" w:rsidRPr="008A3840" w:rsidTr="008F0925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7B71A4" w:rsidRPr="008A3840" w:rsidRDefault="007B71A4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V4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7B71A4" w:rsidRPr="008A3840" w:rsidRDefault="007B71A4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7B71A4" w:rsidRPr="008A3840" w:rsidRDefault="007B71A4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Agrega proveedores Aceptados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7B71A4" w:rsidRPr="008A3840" w:rsidRDefault="007B71A4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12/11/2018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7B71A4" w:rsidRPr="008A3840" w:rsidRDefault="007B71A4" w:rsidP="008A3840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S. Garrido</w:t>
            </w:r>
          </w:p>
        </w:tc>
      </w:tr>
      <w:tr w:rsidR="00D5056A" w:rsidRPr="008A3840" w:rsidTr="008F0925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5056A" w:rsidRDefault="00D5056A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V5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5056A" w:rsidRPr="008A3840" w:rsidRDefault="00D5056A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5056A" w:rsidRPr="008A3840" w:rsidRDefault="00D5056A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Agrega proveedores Aceptados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5056A" w:rsidRDefault="00D5056A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17/01/2019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5056A" w:rsidRDefault="00D5056A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entury Gothic" w:hAnsi="Century Gothic" w:cs="Times New Roman"/>
                <w:sz w:val="16"/>
                <w:szCs w:val="16"/>
              </w:rPr>
              <w:t>S.Garrido</w:t>
            </w:r>
            <w:proofErr w:type="spellEnd"/>
            <w:proofErr w:type="gramEnd"/>
            <w:r>
              <w:rPr>
                <w:rFonts w:ascii="Century Gothic" w:hAnsi="Century Gothic" w:cs="Times New Roman"/>
                <w:sz w:val="16"/>
                <w:szCs w:val="16"/>
              </w:rPr>
              <w:t xml:space="preserve"> / Juan Suazo</w:t>
            </w:r>
          </w:p>
        </w:tc>
      </w:tr>
      <w:tr w:rsidR="002A435F" w:rsidRPr="008A3840" w:rsidTr="008F0925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2A435F" w:rsidRDefault="002A435F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V6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2A435F" w:rsidRPr="008A3840" w:rsidRDefault="002A435F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2A435F" w:rsidRDefault="00A500E4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Agrega reglas de rechazo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2A435F" w:rsidRDefault="00A500E4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11/06/2019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2A435F" w:rsidRPr="00F91281" w:rsidRDefault="002A435F" w:rsidP="00D5056A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F91281">
              <w:rPr>
                <w:rFonts w:ascii="Century Gothic" w:hAnsi="Century Gothic" w:cs="Times New Roman"/>
                <w:sz w:val="16"/>
                <w:szCs w:val="16"/>
              </w:rPr>
              <w:t>Luis Felipe Mondaca/JI. Soto</w:t>
            </w:r>
          </w:p>
        </w:tc>
      </w:tr>
      <w:tr w:rsidR="00A500E4" w:rsidRPr="008A3840" w:rsidTr="008F0925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A500E4" w:rsidRDefault="00A500E4" w:rsidP="00A500E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V6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A500E4" w:rsidRPr="008A3840" w:rsidRDefault="00A500E4" w:rsidP="00A500E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A500E4" w:rsidRPr="008A3840" w:rsidRDefault="00A500E4" w:rsidP="00A500E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8A3840">
              <w:rPr>
                <w:rFonts w:ascii="Century Gothic" w:hAnsi="Century Gothic" w:cs="Times New Roman"/>
                <w:sz w:val="16"/>
                <w:szCs w:val="16"/>
              </w:rPr>
              <w:t>Agrega reglas de rechazo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A500E4" w:rsidRDefault="00A500E4" w:rsidP="00A500E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25/09/2019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A500E4" w:rsidRPr="00F91281" w:rsidRDefault="00A500E4" w:rsidP="00A500E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F91281">
              <w:rPr>
                <w:rFonts w:ascii="Century Gothic" w:hAnsi="Century Gothic" w:cs="Times New Roman"/>
                <w:sz w:val="16"/>
                <w:szCs w:val="16"/>
              </w:rPr>
              <w:t>Luis Felipe Mondaca/JI. Soto</w:t>
            </w:r>
          </w:p>
        </w:tc>
      </w:tr>
    </w:tbl>
    <w:p w:rsidR="0003338D" w:rsidRPr="008A3840" w:rsidRDefault="0003338D" w:rsidP="00836CF8">
      <w:pPr>
        <w:rPr>
          <w:rFonts w:ascii="Century Gothic" w:hAnsi="Century Gothic" w:cs="Times New Roman"/>
          <w:b/>
          <w:sz w:val="16"/>
          <w:szCs w:val="16"/>
          <w:u w:val="single"/>
        </w:rPr>
      </w:pPr>
    </w:p>
    <w:sectPr w:rsidR="0003338D" w:rsidRPr="008A3840" w:rsidSect="00BE040B">
      <w:headerReference w:type="default" r:id="rId11"/>
      <w:footerReference w:type="default" r:id="rId12"/>
      <w:pgSz w:w="12240" w:h="15840"/>
      <w:pgMar w:top="1417" w:right="1701" w:bottom="1417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B4B" w:rsidRDefault="00D73B4B" w:rsidP="00BE040B">
      <w:pPr>
        <w:spacing w:after="0" w:line="240" w:lineRule="auto"/>
      </w:pPr>
      <w:r>
        <w:separator/>
      </w:r>
    </w:p>
  </w:endnote>
  <w:endnote w:type="continuationSeparator" w:id="0">
    <w:p w:rsidR="00D73B4B" w:rsidRDefault="00D73B4B" w:rsidP="00B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232583126"/>
      <w:docPartObj>
        <w:docPartGallery w:val="Page Numbers (Bottom of Page)"/>
        <w:docPartUnique/>
      </w:docPartObj>
    </w:sdtPr>
    <w:sdtEndPr/>
    <w:sdtContent>
      <w:p w:rsidR="00BE4149" w:rsidRDefault="00BE4149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</w:p>
      <w:p w:rsidR="00BE4149" w:rsidRDefault="00BE4149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E83582" wp14:editId="5E59AC5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4149" w:rsidRDefault="00BE414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1726B" w:rsidRPr="0041726B">
                                <w:rPr>
                                  <w:noProof/>
                                  <w:lang w:val="es-ES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3E83582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OYnnew2AgAAZQ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BE4149" w:rsidRDefault="00BE414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1726B" w:rsidRPr="0041726B">
                          <w:rPr>
                            <w:noProof/>
                            <w:lang w:val="es-ES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349570" wp14:editId="4955C6C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50DA2F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" strokecolor="gray" strokeweight="1pt">
                  <w10:wrap anchorx="margin" anchory="margin"/>
                </v:shape>
              </w:pict>
            </mc:Fallback>
          </mc:AlternateContent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Rechazo Comercial y Generación OC</w:t>
        </w:r>
      </w:p>
      <w:p w:rsidR="00BE4149" w:rsidRPr="00C6429F" w:rsidRDefault="00BE4149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</w:t>
        </w:r>
        <w:proofErr w:type="spellStart"/>
        <w:r w:rsidR="008A3840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Auditoria</w:t>
        </w:r>
        <w:proofErr w:type="spellEnd"/>
        <w:r w:rsidR="008A3840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Interna Grupo FG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B4B" w:rsidRDefault="00D73B4B" w:rsidP="00BE040B">
      <w:pPr>
        <w:spacing w:after="0" w:line="240" w:lineRule="auto"/>
      </w:pPr>
      <w:r>
        <w:separator/>
      </w:r>
    </w:p>
  </w:footnote>
  <w:footnote w:type="continuationSeparator" w:id="0">
    <w:p w:rsidR="00D73B4B" w:rsidRDefault="00D73B4B" w:rsidP="00B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4149" w:rsidRDefault="00BE4149" w:rsidP="00836CF8">
    <w:pPr>
      <w:pStyle w:val="Encabezado"/>
    </w:pPr>
  </w:p>
  <w:p w:rsidR="00BE4149" w:rsidRDefault="00BE4149" w:rsidP="00836CF8">
    <w:pPr>
      <w:pStyle w:val="Encabezado"/>
    </w:pPr>
  </w:p>
  <w:p w:rsidR="00BE4149" w:rsidRDefault="1BD40F71" w:rsidP="00836CF8">
    <w:pPr>
      <w:pStyle w:val="Encabezado"/>
    </w:pPr>
    <w:r>
      <w:t xml:space="preserve">                                           </w:t>
    </w:r>
    <w:r w:rsidR="00591B1E">
      <w:tab/>
    </w:r>
    <w:r w:rsidR="00591B1E">
      <w:tab/>
    </w:r>
    <w:r>
      <w:t xml:space="preserve"> </w:t>
    </w:r>
    <w:r w:rsidR="00591B1E">
      <w:rPr>
        <w:noProof/>
      </w:rPr>
      <w:drawing>
        <wp:inline distT="0" distB="0" distL="0" distR="0" wp14:anchorId="64F9D154" wp14:editId="5EE074A8">
          <wp:extent cx="2628900" cy="228600"/>
          <wp:effectExtent l="0" t="0" r="0" b="0"/>
          <wp:docPr id="1" name="Imagen 1" descr="cid:image001.jpg@01D45A26.55267D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45A26.55267D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4149" w:rsidRPr="00C6429F" w:rsidRDefault="00BE4149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E43"/>
    <w:multiLevelType w:val="hybridMultilevel"/>
    <w:tmpl w:val="7DC20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637A"/>
    <w:multiLevelType w:val="hybridMultilevel"/>
    <w:tmpl w:val="1B32AA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F046F"/>
    <w:multiLevelType w:val="hybridMultilevel"/>
    <w:tmpl w:val="3AC2864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5A4F90"/>
    <w:multiLevelType w:val="hybridMultilevel"/>
    <w:tmpl w:val="B39277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B428E"/>
    <w:multiLevelType w:val="hybridMultilevel"/>
    <w:tmpl w:val="F274D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03B6"/>
    <w:multiLevelType w:val="hybridMultilevel"/>
    <w:tmpl w:val="00C4C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4E32"/>
    <w:multiLevelType w:val="hybridMultilevel"/>
    <w:tmpl w:val="3B720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F2A5A"/>
    <w:multiLevelType w:val="hybridMultilevel"/>
    <w:tmpl w:val="0E9CD65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0B"/>
    <w:rsid w:val="000020DB"/>
    <w:rsid w:val="000237FD"/>
    <w:rsid w:val="0003338D"/>
    <w:rsid w:val="00047CF7"/>
    <w:rsid w:val="00084BA5"/>
    <w:rsid w:val="00095DD4"/>
    <w:rsid w:val="0009628D"/>
    <w:rsid w:val="000B0552"/>
    <w:rsid w:val="000C7210"/>
    <w:rsid w:val="000F3B33"/>
    <w:rsid w:val="001110F4"/>
    <w:rsid w:val="00124463"/>
    <w:rsid w:val="00140E6B"/>
    <w:rsid w:val="00160EFF"/>
    <w:rsid w:val="0017365A"/>
    <w:rsid w:val="001835C3"/>
    <w:rsid w:val="00185581"/>
    <w:rsid w:val="001B0D79"/>
    <w:rsid w:val="00247BE0"/>
    <w:rsid w:val="002532E3"/>
    <w:rsid w:val="00277E02"/>
    <w:rsid w:val="002A435F"/>
    <w:rsid w:val="002E0547"/>
    <w:rsid w:val="002E30EB"/>
    <w:rsid w:val="002F19DB"/>
    <w:rsid w:val="00354CF7"/>
    <w:rsid w:val="00382179"/>
    <w:rsid w:val="003C7DED"/>
    <w:rsid w:val="003D0D0B"/>
    <w:rsid w:val="003D6142"/>
    <w:rsid w:val="0041726B"/>
    <w:rsid w:val="00446407"/>
    <w:rsid w:val="0045469E"/>
    <w:rsid w:val="00456F94"/>
    <w:rsid w:val="004955AD"/>
    <w:rsid w:val="004A46ED"/>
    <w:rsid w:val="004E7E76"/>
    <w:rsid w:val="004F2A06"/>
    <w:rsid w:val="00581FA3"/>
    <w:rsid w:val="00591B1E"/>
    <w:rsid w:val="005A350B"/>
    <w:rsid w:val="0062466E"/>
    <w:rsid w:val="00661864"/>
    <w:rsid w:val="0067178A"/>
    <w:rsid w:val="007156FA"/>
    <w:rsid w:val="00727B6E"/>
    <w:rsid w:val="0075577A"/>
    <w:rsid w:val="00762F24"/>
    <w:rsid w:val="00763B41"/>
    <w:rsid w:val="007B71A4"/>
    <w:rsid w:val="007C14FA"/>
    <w:rsid w:val="007D6417"/>
    <w:rsid w:val="007E41A4"/>
    <w:rsid w:val="007E5CB8"/>
    <w:rsid w:val="008134B7"/>
    <w:rsid w:val="00827FD6"/>
    <w:rsid w:val="008314B2"/>
    <w:rsid w:val="00836CF8"/>
    <w:rsid w:val="00845F02"/>
    <w:rsid w:val="00855204"/>
    <w:rsid w:val="008A3840"/>
    <w:rsid w:val="008C0324"/>
    <w:rsid w:val="008C1857"/>
    <w:rsid w:val="008C3744"/>
    <w:rsid w:val="008D2953"/>
    <w:rsid w:val="008F0925"/>
    <w:rsid w:val="008F2431"/>
    <w:rsid w:val="00910B51"/>
    <w:rsid w:val="0092146F"/>
    <w:rsid w:val="009530DE"/>
    <w:rsid w:val="00971CAF"/>
    <w:rsid w:val="00995142"/>
    <w:rsid w:val="009A706F"/>
    <w:rsid w:val="009C5F1A"/>
    <w:rsid w:val="009D34B6"/>
    <w:rsid w:val="009D4139"/>
    <w:rsid w:val="009F5FA4"/>
    <w:rsid w:val="00A00A7E"/>
    <w:rsid w:val="00A01C6A"/>
    <w:rsid w:val="00A500E4"/>
    <w:rsid w:val="00A77F1F"/>
    <w:rsid w:val="00AD20B0"/>
    <w:rsid w:val="00AD367D"/>
    <w:rsid w:val="00B05F5D"/>
    <w:rsid w:val="00BD062A"/>
    <w:rsid w:val="00BE040B"/>
    <w:rsid w:val="00BE4149"/>
    <w:rsid w:val="00C145AE"/>
    <w:rsid w:val="00C14B85"/>
    <w:rsid w:val="00C22E52"/>
    <w:rsid w:val="00C3060B"/>
    <w:rsid w:val="00C35BD3"/>
    <w:rsid w:val="00C43921"/>
    <w:rsid w:val="00C63B8B"/>
    <w:rsid w:val="00C6429F"/>
    <w:rsid w:val="00CA55FC"/>
    <w:rsid w:val="00CA71AF"/>
    <w:rsid w:val="00CE1812"/>
    <w:rsid w:val="00D06950"/>
    <w:rsid w:val="00D372EA"/>
    <w:rsid w:val="00D5056A"/>
    <w:rsid w:val="00D60F0B"/>
    <w:rsid w:val="00D73B4B"/>
    <w:rsid w:val="00D871B7"/>
    <w:rsid w:val="00DD1EC3"/>
    <w:rsid w:val="00DE1EDC"/>
    <w:rsid w:val="00E21BC4"/>
    <w:rsid w:val="00E76FEE"/>
    <w:rsid w:val="00EA065E"/>
    <w:rsid w:val="00EE08B2"/>
    <w:rsid w:val="00EE36EB"/>
    <w:rsid w:val="00EF7282"/>
    <w:rsid w:val="00F1425E"/>
    <w:rsid w:val="00F8545C"/>
    <w:rsid w:val="00F91281"/>
    <w:rsid w:val="00FB2279"/>
    <w:rsid w:val="00FE6E49"/>
    <w:rsid w:val="1BD40F71"/>
    <w:rsid w:val="5AA3C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859F7"/>
  <w15:chartTrackingRefBased/>
  <w15:docId w15:val="{DC8583BF-8F69-4B08-95F5-D5EECF91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40B"/>
  </w:style>
  <w:style w:type="paragraph" w:styleId="Piedepgina">
    <w:name w:val="footer"/>
    <w:basedOn w:val="Normal"/>
    <w:link w:val="PiedepginaCar"/>
    <w:uiPriority w:val="99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0B"/>
  </w:style>
  <w:style w:type="character" w:styleId="Hipervnculo">
    <w:name w:val="Hyperlink"/>
    <w:basedOn w:val="Fuentedeprrafopredeter"/>
    <w:uiPriority w:val="99"/>
    <w:unhideWhenUsed/>
    <w:rsid w:val="00BE04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A06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C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8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E1ED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5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44F6579223540B218D9A4FB026692" ma:contentTypeVersion="10" ma:contentTypeDescription="Crear nuevo documento." ma:contentTypeScope="" ma:versionID="f8fc86fb5183424d3d6caad557b5aa27">
  <xsd:schema xmlns:xsd="http://www.w3.org/2001/XMLSchema" xmlns:xs="http://www.w3.org/2001/XMLSchema" xmlns:p="http://schemas.microsoft.com/office/2006/metadata/properties" xmlns:ns2="e9fd279f-9903-4788-bad5-c2312223f35c" xmlns:ns3="fbf575dc-2075-41ef-862d-28f8ea3ea510" targetNamespace="http://schemas.microsoft.com/office/2006/metadata/properties" ma:root="true" ma:fieldsID="8edbcfd5625afabc1199a22a614112b4" ns2:_="" ns3:_="">
    <xsd:import namespace="e9fd279f-9903-4788-bad5-c2312223f35c"/>
    <xsd:import namespace="fbf575dc-2075-41ef-862d-28f8ea3ea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79f-9903-4788-bad5-c2312223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75dc-2075-41ef-862d-28f8ea3ea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3270-A535-4235-B6AD-D0AF390A6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279f-9903-4788-bad5-c2312223f35c"/>
    <ds:schemaRef ds:uri="fbf575dc-2075-41ef-862d-28f8ea3ea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4BF5B-A6F6-41A2-856C-F702AD43F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0407B-5653-4422-9D5B-C95324AC6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0C049A-15FD-465F-83D2-33D3E79F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5964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FG</dc:title>
  <dc:subject/>
  <dc:creator>Sebastian  Andres  Garrido Saavedra</dc:creator>
  <cp:keywords/>
  <dc:description/>
  <cp:lastModifiedBy>Michelle De la Barra Quezada</cp:lastModifiedBy>
  <cp:revision>1</cp:revision>
  <cp:lastPrinted>2019-09-25T13:49:00Z</cp:lastPrinted>
  <dcterms:created xsi:type="dcterms:W3CDTF">2021-09-23T22:24:00Z</dcterms:created>
  <dcterms:modified xsi:type="dcterms:W3CDTF">2021-09-23T22:24:00Z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0x010100ABD44F6579223540B218D9A4FB026692</vt:lpwstr>
  </property>
</Properties>
</file>